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FDC" w:rsidRPr="00B975F5" w:rsidRDefault="00C62FDC" w:rsidP="00C62FDC">
      <w:pPr>
        <w:pStyle w:val="a3"/>
        <w:tabs>
          <w:tab w:val="left" w:pos="851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/>
        </w:rPr>
      </w:pPr>
      <w:r w:rsidRPr="00B975F5">
        <w:rPr>
          <w:rFonts w:ascii="Times New Roman" w:eastAsia="Times New Roman" w:hAnsi="Times New Roman"/>
        </w:rPr>
        <w:t xml:space="preserve">Приложение </w:t>
      </w:r>
      <w:r>
        <w:rPr>
          <w:rFonts w:ascii="Times New Roman" w:eastAsia="Times New Roman" w:hAnsi="Times New Roman"/>
        </w:rPr>
        <w:t>2</w:t>
      </w:r>
      <w:r w:rsidRPr="00B975F5">
        <w:rPr>
          <w:rFonts w:ascii="Times New Roman" w:eastAsia="Times New Roman" w:hAnsi="Times New Roman"/>
        </w:rPr>
        <w:t xml:space="preserve"> к письму</w:t>
      </w:r>
    </w:p>
    <w:p w:rsidR="00C62FDC" w:rsidRPr="00B975F5" w:rsidRDefault="00C62FDC" w:rsidP="00C62FDC">
      <w:pPr>
        <w:pStyle w:val="a3"/>
        <w:tabs>
          <w:tab w:val="left" w:pos="851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/>
        </w:rPr>
      </w:pPr>
      <w:r w:rsidRPr="00B975F5">
        <w:rPr>
          <w:rFonts w:ascii="Times New Roman" w:eastAsia="Times New Roman" w:hAnsi="Times New Roman"/>
        </w:rPr>
        <w:t>Исх. №____________ от «___» _____________ 2017 г.</w:t>
      </w:r>
    </w:p>
    <w:p w:rsidR="00C62FDC" w:rsidRDefault="00C62FDC" w:rsidP="00C62FDC">
      <w:pPr>
        <w:pStyle w:val="a3"/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GoBack"/>
      <w:bookmarkEnd w:id="0"/>
    </w:p>
    <w:p w:rsidR="00102093" w:rsidRDefault="00C62FDC" w:rsidP="002B10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702D3">
        <w:rPr>
          <w:rFonts w:ascii="Times New Roman" w:eastAsia="Times New Roman" w:hAnsi="Times New Roman"/>
          <w:b/>
          <w:sz w:val="28"/>
          <w:szCs w:val="28"/>
        </w:rPr>
        <w:t xml:space="preserve">Информация о результатах деятельности </w:t>
      </w:r>
      <w:r w:rsidR="00102093" w:rsidRPr="00102093">
        <w:rPr>
          <w:rFonts w:ascii="Times New Roman" w:eastAsia="Times New Roman" w:hAnsi="Times New Roman"/>
          <w:b/>
          <w:sz w:val="28"/>
          <w:szCs w:val="28"/>
        </w:rPr>
        <w:t>некоммерческой организации «Фонд развития Ханты-Мансийского автономного округа – Югры»</w:t>
      </w:r>
      <w:r w:rsidRPr="00102093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C62FDC" w:rsidRPr="00F702D3" w:rsidRDefault="00C62FDC" w:rsidP="002B1080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702D3">
        <w:rPr>
          <w:rFonts w:ascii="Times New Roman" w:eastAsia="Times New Roman" w:hAnsi="Times New Roman"/>
          <w:b/>
          <w:sz w:val="28"/>
          <w:szCs w:val="28"/>
        </w:rPr>
        <w:t>в 2016 году</w:t>
      </w:r>
    </w:p>
    <w:p w:rsidR="00CD1A47" w:rsidRDefault="00CD1A47" w:rsidP="00EE6E62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A0B51" w:rsidRPr="00C62FDC" w:rsidRDefault="00C62FDC" w:rsidP="0070674B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CD1A47" w:rsidRPr="00C62FDC">
        <w:rPr>
          <w:rFonts w:ascii="Times New Roman" w:hAnsi="Times New Roman" w:cs="Times New Roman"/>
          <w:i/>
          <w:sz w:val="28"/>
          <w:szCs w:val="28"/>
        </w:rPr>
        <w:t xml:space="preserve">Приоритетные направления деятельности </w:t>
      </w:r>
      <w:r w:rsidR="0070674B" w:rsidRPr="00C62FDC">
        <w:rPr>
          <w:rFonts w:ascii="Times New Roman" w:hAnsi="Times New Roman" w:cs="Times New Roman"/>
          <w:i/>
          <w:sz w:val="28"/>
          <w:szCs w:val="28"/>
        </w:rPr>
        <w:t xml:space="preserve">некоммерческой </w:t>
      </w:r>
      <w:r w:rsidR="002A0B51" w:rsidRPr="00C62FDC">
        <w:rPr>
          <w:rFonts w:ascii="Times New Roman" w:hAnsi="Times New Roman" w:cs="Times New Roman"/>
          <w:i/>
          <w:sz w:val="28"/>
          <w:szCs w:val="28"/>
        </w:rPr>
        <w:t>организации «Фонд развития Ханты-Мансийского автономного округа – Югры» (далее – Фонд)</w:t>
      </w:r>
      <w:r w:rsidR="0070674B" w:rsidRPr="00C62FDC">
        <w:rPr>
          <w:rFonts w:ascii="Times New Roman" w:hAnsi="Times New Roman" w:cs="Times New Roman"/>
          <w:i/>
          <w:sz w:val="28"/>
          <w:szCs w:val="28"/>
        </w:rPr>
        <w:t>.</w:t>
      </w:r>
    </w:p>
    <w:p w:rsidR="00735845" w:rsidRPr="00603581" w:rsidRDefault="00417B85" w:rsidP="00BD529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3606E9">
        <w:rPr>
          <w:rFonts w:ascii="Times New Roman" w:hAnsi="Times New Roman" w:cs="Times New Roman"/>
          <w:sz w:val="24"/>
          <w:szCs w:val="24"/>
        </w:rPr>
        <w:tab/>
      </w:r>
      <w:r w:rsidR="00154D53" w:rsidRPr="00603581">
        <w:rPr>
          <w:rFonts w:ascii="Times New Roman" w:hAnsi="Times New Roman" w:cs="Times New Roman"/>
          <w:sz w:val="28"/>
          <w:szCs w:val="24"/>
        </w:rPr>
        <w:t xml:space="preserve">Фонд как институт развития призван сформировать новое качество инвестиционной среды на территории Ханты-Мансийского автономного округа – Югры, суть </w:t>
      </w:r>
      <w:r w:rsidR="004C6F59">
        <w:rPr>
          <w:rFonts w:ascii="Times New Roman" w:hAnsi="Times New Roman" w:cs="Times New Roman"/>
          <w:sz w:val="28"/>
          <w:szCs w:val="24"/>
        </w:rPr>
        <w:t xml:space="preserve">деятельности </w:t>
      </w:r>
      <w:r w:rsidR="00154D53" w:rsidRPr="00603581">
        <w:rPr>
          <w:rFonts w:ascii="Times New Roman" w:hAnsi="Times New Roman" w:cs="Times New Roman"/>
          <w:sz w:val="28"/>
          <w:szCs w:val="24"/>
        </w:rPr>
        <w:t>которого состоит в создании лучших условий для инвестирования частных и государственных финансов в объекты транспортной, дорожной, жилищно-коммунальной, социальной инфраструктуры и инновационные проекты путем минимизации рисков долгосрочных капиталовложений и максимизации их экономического эффекта.</w:t>
      </w:r>
    </w:p>
    <w:p w:rsidR="00D57F60" w:rsidRPr="00603581" w:rsidRDefault="00D57F60" w:rsidP="00BD529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03581">
        <w:rPr>
          <w:rFonts w:ascii="Times New Roman" w:hAnsi="Times New Roman" w:cs="Times New Roman"/>
          <w:sz w:val="28"/>
          <w:szCs w:val="24"/>
        </w:rPr>
        <w:t>Фонд в своей работе руководствуется:</w:t>
      </w:r>
    </w:p>
    <w:p w:rsidR="00D57F60" w:rsidRPr="00603581" w:rsidRDefault="00D57F60" w:rsidP="00BD5295">
      <w:pPr>
        <w:pStyle w:val="a3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t>Стратегией социально-экономического развития Ханты-Мансийского автономного округа – Югры до 2020 года и на период до 2030 года.</w:t>
      </w:r>
    </w:p>
    <w:p w:rsidR="00D57F60" w:rsidRPr="00603581" w:rsidRDefault="00D57F60" w:rsidP="00BD5295">
      <w:pPr>
        <w:pStyle w:val="a3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t xml:space="preserve">Стратегией развития Фонда </w:t>
      </w:r>
      <w:r w:rsidR="00B10C9A" w:rsidRPr="00603581">
        <w:rPr>
          <w:rFonts w:ascii="Times New Roman" w:hAnsi="Times New Roman" w:cs="Times New Roman"/>
          <w:sz w:val="28"/>
        </w:rPr>
        <w:t>(утверждена Протоколом заседания Наблюдательного совета от 21.02.14 № 8/14).</w:t>
      </w:r>
    </w:p>
    <w:p w:rsidR="00D57F60" w:rsidRPr="00603581" w:rsidRDefault="00B10C9A" w:rsidP="00BD5295">
      <w:pPr>
        <w:pStyle w:val="a3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t>Инвестиционной декларацией Фонда (утверждена Протоколом заседания Наблюдательного совета от 25.05.2015 № 27/15).</w:t>
      </w:r>
    </w:p>
    <w:p w:rsidR="00B10C9A" w:rsidRPr="00603581" w:rsidRDefault="006430D0" w:rsidP="00BD5295">
      <w:pPr>
        <w:pStyle w:val="a3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t>Внутренними локальными актами Фонда</w:t>
      </w:r>
      <w:r w:rsidR="00B10C9A" w:rsidRPr="00603581">
        <w:rPr>
          <w:rFonts w:ascii="Times New Roman" w:hAnsi="Times New Roman" w:cs="Times New Roman"/>
          <w:sz w:val="28"/>
        </w:rPr>
        <w:t xml:space="preserve">.  </w:t>
      </w:r>
    </w:p>
    <w:p w:rsidR="00154D53" w:rsidRPr="00603581" w:rsidRDefault="00154D53" w:rsidP="00BD529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603581">
        <w:rPr>
          <w:rFonts w:ascii="Times New Roman" w:hAnsi="Times New Roman" w:cs="Times New Roman"/>
          <w:sz w:val="28"/>
          <w:szCs w:val="24"/>
        </w:rPr>
        <w:t>Основные направления деятельности в соответствии со Стратегией развития Фонда:</w:t>
      </w:r>
    </w:p>
    <w:p w:rsidR="00D57F60" w:rsidRPr="00603581" w:rsidRDefault="00D57F60" w:rsidP="00BD5295">
      <w:pPr>
        <w:pStyle w:val="a3"/>
        <w:numPr>
          <w:ilvl w:val="0"/>
          <w:numId w:val="19"/>
        </w:numPr>
        <w:tabs>
          <w:tab w:val="clear" w:pos="72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t xml:space="preserve">содействие в реализации промышленной политики на территории Югры, в том числе создание и развитие индустриальных парков; </w:t>
      </w:r>
    </w:p>
    <w:p w:rsidR="00D57F60" w:rsidRPr="00603581" w:rsidRDefault="00D57F60" w:rsidP="00BD5295">
      <w:pPr>
        <w:pStyle w:val="a3"/>
        <w:numPr>
          <w:ilvl w:val="0"/>
          <w:numId w:val="19"/>
        </w:numPr>
        <w:tabs>
          <w:tab w:val="clear" w:pos="72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lastRenderedPageBreak/>
        <w:t xml:space="preserve">участие в реализации приоритетных для Югры инвестиционных проектах, в том числе реализуемых на принципах государственно-частного партнёрства; </w:t>
      </w:r>
    </w:p>
    <w:p w:rsidR="00D57F60" w:rsidRPr="00603581" w:rsidRDefault="00D57F60" w:rsidP="00BD5295">
      <w:pPr>
        <w:pStyle w:val="a3"/>
        <w:numPr>
          <w:ilvl w:val="0"/>
          <w:numId w:val="19"/>
        </w:numPr>
        <w:tabs>
          <w:tab w:val="clear" w:pos="72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t>проведение мероприятий по повышению инвестиционного потенциала и привлекательности Югры;</w:t>
      </w:r>
    </w:p>
    <w:p w:rsidR="00D57F60" w:rsidRPr="00603581" w:rsidRDefault="00D57F60" w:rsidP="00BD5295">
      <w:pPr>
        <w:pStyle w:val="a3"/>
        <w:numPr>
          <w:ilvl w:val="0"/>
          <w:numId w:val="19"/>
        </w:numPr>
        <w:tabs>
          <w:tab w:val="clear" w:pos="72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t>сопровождение инвестиционных проектов на принципах «одного окна»;</w:t>
      </w:r>
    </w:p>
    <w:p w:rsidR="00CD1A47" w:rsidRPr="002A0B51" w:rsidRDefault="00D57F60" w:rsidP="00BD5295">
      <w:pPr>
        <w:pStyle w:val="a3"/>
        <w:numPr>
          <w:ilvl w:val="0"/>
          <w:numId w:val="19"/>
        </w:numPr>
        <w:tabs>
          <w:tab w:val="clear" w:pos="720"/>
          <w:tab w:val="left" w:pos="567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603581">
        <w:rPr>
          <w:rFonts w:ascii="Times New Roman" w:hAnsi="Times New Roman" w:cs="Times New Roman"/>
          <w:sz w:val="28"/>
        </w:rPr>
        <w:t>подготовка предложений по совершенствованию нормативно-правовых актов автономного округа направленных на развитие инвестиционного законодательства и улучшение инвестиционного климата.</w:t>
      </w:r>
    </w:p>
    <w:p w:rsidR="00BD5295" w:rsidRDefault="00BD5295" w:rsidP="00BD529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1A47" w:rsidRPr="00C62FDC" w:rsidRDefault="00C62FDC" w:rsidP="00BD529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2FDC">
        <w:rPr>
          <w:rFonts w:ascii="Times New Roman" w:hAnsi="Times New Roman" w:cs="Times New Roman"/>
          <w:i/>
          <w:sz w:val="28"/>
          <w:szCs w:val="28"/>
        </w:rPr>
        <w:t>2. Проекты в управлении Фонда.</w:t>
      </w:r>
    </w:p>
    <w:p w:rsidR="002F4A1D" w:rsidRDefault="00111401" w:rsidP="00BD5295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Фонд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заключ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>ены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соглашения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униципальными образованиями автономного округа</w:t>
      </w:r>
      <w:r w:rsidR="002A0B51" w:rsidRP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взаимодействии в сфере развития инвестиционной деятельности, в постоянном режиме осуществляется взаимодействие с профильными </w:t>
      </w:r>
      <w:r w:rsidR="002F4A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исполнительными органами государственной власти 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>автономного округа.</w:t>
      </w:r>
    </w:p>
    <w:p w:rsidR="00111401" w:rsidRDefault="002A0B51" w:rsidP="00BD5295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2769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едется работа с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федеральными Министерствами</w:t>
      </w:r>
      <w:r w:rsidR="002769B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Российской Федерации, а также профессиональным экспертным сообществом по вопросам развития института государственно-частного партнерства, развития промышленной политики.</w:t>
      </w:r>
    </w:p>
    <w:p w:rsidR="00111401" w:rsidRDefault="00111401" w:rsidP="00BD5295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Согласно регламента сопровождения инвестиционных проектов в Ханты-Мансийском автономном округе – Югре (утвержден Постановлением Правительства Ханты-Мансийского автономного округа – Югры от 27.12.2013 № 590-п), Фонд является участником Регламента.  </w:t>
      </w:r>
    </w:p>
    <w:p w:rsidR="00E9193A" w:rsidRPr="00162FA4" w:rsidRDefault="00111401" w:rsidP="00BD5295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Так Фондом з</w:t>
      </w:r>
      <w:r w:rsidR="00E9193A" w:rsidRP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аключено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9</w:t>
      </w:r>
      <w:r w:rsidR="00E9193A" w:rsidRP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соглашений об информационно-консультационном и организационном сопровождении проектов на принципах «одного окна». В рамках соглашений с инвесторами проводится систематическая работа, направленная на:</w:t>
      </w:r>
    </w:p>
    <w:p w:rsidR="00565ECC" w:rsidRPr="00162FA4" w:rsidRDefault="00565ECC" w:rsidP="00BD5295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обеспечение инвестора информацией о возможностях размещения инвестиционного проекта (инвестиционных площадках, существующих предприятиях, готовых рассматривать предложения о сотрудничестве);</w:t>
      </w:r>
    </w:p>
    <w:p w:rsidR="00565ECC" w:rsidRPr="00162FA4" w:rsidRDefault="00565ECC" w:rsidP="00BD5295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обеспечение посещения инвестором инвестиционных площадок, помощь в организации и проведении переговоров (с органами местного самоуправления, с энергетическими компаниями, потенциальными партнерами);</w:t>
      </w:r>
    </w:p>
    <w:p w:rsidR="00162FA4" w:rsidRPr="00162FA4" w:rsidRDefault="00565ECC" w:rsidP="00BD5295">
      <w:pPr>
        <w:pStyle w:val="a3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lang w:eastAsia="en-US"/>
        </w:rPr>
      </w:pPr>
      <w:r w:rsidRP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предоставление исчерпывающей информации о возможных инструментах поддержки инвестиционной деятельности.</w:t>
      </w:r>
    </w:p>
    <w:p w:rsidR="00111401" w:rsidRPr="0070674B" w:rsidRDefault="002A0B51" w:rsidP="0070674B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настоящее время</w:t>
      </w:r>
      <w:r w:rsidR="00111401" w:rsidRP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управлении Фонда находится 17 </w:t>
      </w:r>
      <w:r w:rsidR="00510EA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крупных </w:t>
      </w:r>
      <w:r w:rsidR="00111401" w:rsidRP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инвестиционных проектов </w:t>
      </w:r>
      <w:r w:rsidR="00111401"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>с общим объемом инвестиций более 355 млрд. рублей и планируемым бюджетным эффектом</w:t>
      </w:r>
      <w:r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во все уровни бюджетной системы Российской Федерации</w:t>
      </w:r>
      <w:r w:rsidR="00111401"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размере 343</w:t>
      </w:r>
      <w:r w:rsidR="00BD5295"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>,1 млрд. рублей, в том числе</w:t>
      </w:r>
      <w:r w:rsidR="0070674B"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крупнейшие</w:t>
      </w:r>
      <w:r w:rsidR="00BD5295"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реализуемые в настоящее время:</w:t>
      </w:r>
    </w:p>
    <w:p w:rsidR="00BD5295" w:rsidRPr="0070674B" w:rsidRDefault="0070674B" w:rsidP="0070674B">
      <w:pPr>
        <w:pStyle w:val="a3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70674B">
        <w:rPr>
          <w:rFonts w:ascii="Times New Roman" w:hAnsi="Times New Roman"/>
          <w:sz w:val="28"/>
          <w:szCs w:val="28"/>
        </w:rPr>
        <w:t>Сургутский центр охраны материнства и детства;</w:t>
      </w:r>
    </w:p>
    <w:p w:rsidR="0070674B" w:rsidRPr="0070674B" w:rsidRDefault="0070674B" w:rsidP="0070674B">
      <w:pPr>
        <w:pStyle w:val="a3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0674B">
        <w:rPr>
          <w:rFonts w:ascii="Times New Roman" w:hAnsi="Times New Roman"/>
          <w:sz w:val="28"/>
          <w:szCs w:val="28"/>
        </w:rPr>
        <w:t>Индустриальный парк в п. Солнечный Сургутского района;</w:t>
      </w:r>
    </w:p>
    <w:p w:rsidR="00BD5295" w:rsidRPr="0070674B" w:rsidRDefault="0070674B" w:rsidP="0070674B">
      <w:pPr>
        <w:pStyle w:val="a3"/>
        <w:numPr>
          <w:ilvl w:val="0"/>
          <w:numId w:val="32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0674B">
        <w:rPr>
          <w:rFonts w:ascii="Times New Roman" w:hAnsi="Times New Roman"/>
          <w:sz w:val="28"/>
          <w:szCs w:val="28"/>
        </w:rPr>
        <w:t>Комплексный межмуниципальный полигон по переработке твердых коммунальных отходов для город Нефтеюганск, Пыть-Ях и поселений Нефтеюганского района.</w:t>
      </w:r>
    </w:p>
    <w:p w:rsidR="00854A7B" w:rsidRPr="00854A7B" w:rsidRDefault="00AC6328" w:rsidP="0070674B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="002A0B51"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целях реализации </w:t>
      </w:r>
      <w:r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>Стандарт</w:t>
      </w:r>
      <w:r w:rsidR="002A0B51"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деятельности органов ис</w:t>
      </w:r>
      <w:r w:rsidR="002A0B51"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полнительной власти субъектов Российской Федерации</w:t>
      </w:r>
      <w:r w:rsidRPr="007067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обеспечению благоприятного инвестиционного климата разработанного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Агентством стратегических инициатив </w:t>
      </w:r>
      <w:r w:rsid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>Фонд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разработа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>на</w:t>
      </w:r>
      <w:r w:rsid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администрирует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>ся инвестиционная карта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2B001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www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map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investugra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ru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специализированный инвестиционный </w:t>
      </w:r>
      <w:r w:rsid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портал</w:t>
      </w:r>
      <w:r w:rsidR="002B00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2B001B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www</w:t>
      </w:r>
      <w:r w:rsidR="002B001B" w:rsidRPr="002B001B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2B001B">
        <w:rPr>
          <w:rFonts w:ascii="Times New Roman" w:eastAsiaTheme="minorHAnsi" w:hAnsi="Times New Roman" w:cs="Times New Roman"/>
          <w:sz w:val="28"/>
          <w:szCs w:val="28"/>
          <w:lang w:eastAsia="en-US"/>
        </w:rPr>
        <w:t>investugra.ru)</w:t>
      </w:r>
      <w:r w:rsidR="00162FA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Ханты-Мансий</w:t>
      </w:r>
      <w:r w:rsidR="002A0B51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автономного округа – Югры</w:t>
      </w:r>
      <w:r w:rsid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действующий на четырех языках и </w:t>
      </w:r>
      <w:r w:rsidR="00854A7B"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>направлен на стимулирование инвестиционной деятельности и привлечение инвестиций.</w:t>
      </w:r>
    </w:p>
    <w:p w:rsidR="00854A7B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Интернет-ресурс служит удобной платформой для взаимодействия инвесторов, бизнеса и власти региона.</w:t>
      </w:r>
    </w:p>
    <w:p w:rsidR="00854A7B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инвестиционном портале Югры имеется возможность:</w:t>
      </w:r>
    </w:p>
    <w:p w:rsidR="00854A7B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 - ознакомиться с формами государственной поддержки в Югре;</w:t>
      </w:r>
    </w:p>
    <w:p w:rsidR="00854A7B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ознакомиться с успешными инвестиционными проектами, реализованными в регионе;</w:t>
      </w:r>
    </w:p>
    <w:p w:rsidR="00854A7B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разместить информацию о собственном инвестиционном проекте для поиска инвестора, либо отыскать привлекательный инвестиционный проект для вложения средств;</w:t>
      </w:r>
    </w:p>
    <w:p w:rsidR="00854A7B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ознакомится с инвестиционными площадками Югры;  </w:t>
      </w:r>
    </w:p>
    <w:p w:rsidR="00854A7B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- подать заявку на сопровождение инвестиционного проекта по принципу «одного окна»;</w:t>
      </w:r>
    </w:p>
    <w:p w:rsidR="002A0B51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eastAsiaTheme="minorHAnsi" w:hAnsi="Times New Roman" w:cs="Times New Roman"/>
          <w:sz w:val="28"/>
          <w:szCs w:val="28"/>
          <w:lang w:eastAsia="en-US"/>
        </w:rPr>
        <w:t>- обратиться к руководству региона по каналу прямой связи.</w:t>
      </w:r>
    </w:p>
    <w:p w:rsidR="00854A7B" w:rsidRDefault="00BB2F2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9B3E7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="00562719" w:rsidRPr="00562719">
        <w:rPr>
          <w:rFonts w:ascii="Times New Roman" w:eastAsiaTheme="minorHAnsi" w:hAnsi="Times New Roman" w:cs="Times New Roman"/>
          <w:sz w:val="28"/>
          <w:szCs w:val="28"/>
          <w:lang w:eastAsia="en-US"/>
        </w:rPr>
        <w:t>016</w:t>
      </w:r>
      <w:r w:rsidR="0056271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году проведены мероприятия, направленные на совершенствование Интернет-ресурсов:</w:t>
      </w:r>
    </w:p>
    <w:p w:rsidR="00854A7B" w:rsidRDefault="00854A7B" w:rsidP="00BD5295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162FA4" w:rsidRPr="00562719">
        <w:rPr>
          <w:rFonts w:ascii="Times New Roman" w:hAnsi="Times New Roman"/>
          <w:sz w:val="28"/>
          <w:szCs w:val="28"/>
        </w:rPr>
        <w:t>азработан и внедрен личный кабинет для юридических лиц с возможностью подать заявки на сопровождение проекта на принципах «одного окна», стать инвестором, резидентом индустриального парка, разместить проект на инвестиционной карте и портале автономного округа.</w:t>
      </w:r>
    </w:p>
    <w:p w:rsidR="00854A7B" w:rsidRPr="00854A7B" w:rsidRDefault="00854A7B" w:rsidP="00BD5295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</w:t>
      </w:r>
      <w:r w:rsidR="00162FA4" w:rsidRPr="00562719">
        <w:rPr>
          <w:rFonts w:ascii="Times New Roman" w:hAnsi="Times New Roman"/>
          <w:sz w:val="28"/>
          <w:szCs w:val="28"/>
        </w:rPr>
        <w:t>инхронизирована работа инвестиционной карты и портала автономного округа. Разработаны гибкие фильтры по проектам с возможностью выгрузки перечня отфильтрованных проектов по заданным параметрам.</w:t>
      </w:r>
    </w:p>
    <w:p w:rsidR="00854A7B" w:rsidRPr="00854A7B" w:rsidRDefault="00854A7B" w:rsidP="00BD5295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р</w:t>
      </w:r>
      <w:r w:rsidR="00162FA4" w:rsidRPr="00854A7B">
        <w:rPr>
          <w:rFonts w:ascii="Times New Roman" w:hAnsi="Times New Roman"/>
          <w:sz w:val="28"/>
          <w:szCs w:val="28"/>
        </w:rPr>
        <w:t>азработан прототип «Навигатор гос. поддержки».</w:t>
      </w:r>
    </w:p>
    <w:p w:rsidR="00854A7B" w:rsidRPr="00854A7B" w:rsidRDefault="00854A7B" w:rsidP="00BD5295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на инвестиционной карте </w:t>
      </w:r>
      <w:r w:rsidR="00162FA4" w:rsidRPr="00854A7B">
        <w:rPr>
          <w:rFonts w:ascii="Times New Roman" w:hAnsi="Times New Roman"/>
          <w:sz w:val="28"/>
          <w:szCs w:val="28"/>
        </w:rPr>
        <w:t>добавлена возможность отображения наименования улиц и нумерация домов. Разработана мобильная версия. Произведена синхронизация с кадастровой картой Российской Федерации с отображением границ земельных участков, кадастровых номеров с возможностью перехода на кадастровую карту.</w:t>
      </w:r>
    </w:p>
    <w:p w:rsidR="00162FA4" w:rsidRPr="00854A7B" w:rsidRDefault="00162FA4" w:rsidP="00BD5295">
      <w:pPr>
        <w:pStyle w:val="a3"/>
        <w:numPr>
          <w:ilvl w:val="0"/>
          <w:numId w:val="3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4A7B">
        <w:rPr>
          <w:rFonts w:ascii="Times New Roman" w:hAnsi="Times New Roman"/>
          <w:sz w:val="28"/>
          <w:szCs w:val="28"/>
        </w:rPr>
        <w:t xml:space="preserve">внедрена возможность </w:t>
      </w:r>
      <w:r w:rsidRPr="00854A7B">
        <w:rPr>
          <w:rFonts w:ascii="Times New Roman" w:hAnsi="Times New Roman"/>
          <w:sz w:val="28"/>
          <w:szCs w:val="28"/>
          <w:lang w:val="en-US"/>
        </w:rPr>
        <w:t>on</w:t>
      </w:r>
      <w:r w:rsidRPr="00854A7B">
        <w:rPr>
          <w:rFonts w:ascii="Times New Roman" w:hAnsi="Times New Roman"/>
          <w:sz w:val="28"/>
          <w:szCs w:val="28"/>
        </w:rPr>
        <w:t>-</w:t>
      </w:r>
      <w:r w:rsidRPr="00854A7B">
        <w:rPr>
          <w:rFonts w:ascii="Times New Roman" w:hAnsi="Times New Roman"/>
          <w:sz w:val="28"/>
          <w:szCs w:val="28"/>
          <w:lang w:val="en-US"/>
        </w:rPr>
        <w:t>line</w:t>
      </w:r>
      <w:r w:rsidRPr="00854A7B">
        <w:rPr>
          <w:rFonts w:ascii="Times New Roman" w:hAnsi="Times New Roman"/>
          <w:sz w:val="28"/>
          <w:szCs w:val="28"/>
        </w:rPr>
        <w:t xml:space="preserve"> трансляций заседаний </w:t>
      </w:r>
      <w:r w:rsidRPr="00854A7B">
        <w:rPr>
          <w:rFonts w:ascii="Times New Roman" w:hAnsi="Times New Roman"/>
          <w:bCs/>
          <w:sz w:val="28"/>
          <w:szCs w:val="28"/>
        </w:rPr>
        <w:t>Совета при Правительстве Ханты-Мансийского автономного округа – Югры по вопросам развития инвестиционной деятельности в Ханты-Мансийском автономном округе – Югре.</w:t>
      </w:r>
    </w:p>
    <w:p w:rsidR="001857BB" w:rsidRPr="00854A7B" w:rsidRDefault="00854A7B" w:rsidP="00BD5295">
      <w:pPr>
        <w:pStyle w:val="a3"/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="00162FA4" w:rsidRPr="00562719">
        <w:rPr>
          <w:rFonts w:ascii="Times New Roman" w:hAnsi="Times New Roman"/>
          <w:bCs/>
          <w:sz w:val="28"/>
          <w:szCs w:val="28"/>
        </w:rPr>
        <w:t xml:space="preserve"> 2016 году инвестиционную карту посетило - 4 230 пользователей (12 в день), портал – 17 282 пользователей (47 в день).</w:t>
      </w:r>
    </w:p>
    <w:p w:rsidR="00BD5295" w:rsidRDefault="00BD5295" w:rsidP="00BD5295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C19B9" w:rsidRPr="00C62FDC" w:rsidRDefault="00C62FDC" w:rsidP="00BD5295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62FDC">
        <w:rPr>
          <w:rFonts w:ascii="Times New Roman" w:hAnsi="Times New Roman"/>
          <w:i/>
          <w:sz w:val="28"/>
          <w:szCs w:val="28"/>
        </w:rPr>
        <w:t xml:space="preserve">3. </w:t>
      </w:r>
      <w:r w:rsidR="0021223C" w:rsidRPr="00C62FDC">
        <w:rPr>
          <w:rFonts w:ascii="Times New Roman" w:hAnsi="Times New Roman"/>
          <w:i/>
          <w:sz w:val="28"/>
          <w:szCs w:val="28"/>
        </w:rPr>
        <w:t>Промышленная политика</w:t>
      </w:r>
      <w:r w:rsidR="008C19B9" w:rsidRPr="00C62FDC">
        <w:rPr>
          <w:rFonts w:ascii="Times New Roman" w:hAnsi="Times New Roman"/>
          <w:i/>
          <w:sz w:val="28"/>
          <w:szCs w:val="28"/>
        </w:rPr>
        <w:t xml:space="preserve">. </w:t>
      </w:r>
    </w:p>
    <w:p w:rsidR="004066A5" w:rsidRPr="007B218F" w:rsidRDefault="004066A5" w:rsidP="00BD529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1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Фондом развития Югры на постоянной основе готовятся предложения по совершенствованию нормативных правов</w:t>
      </w:r>
      <w:r w:rsidR="00D64082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актов в сфере промышленности.</w:t>
      </w:r>
      <w:r w:rsidRPr="007B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08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B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частности с учетом предложений Фонда были разработаны и в установленном порядке приняты:</w:t>
      </w:r>
    </w:p>
    <w:p w:rsidR="007B218F" w:rsidRDefault="004066A5" w:rsidP="00BD529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18F">
        <w:rPr>
          <w:rFonts w:ascii="Times New Roman" w:eastAsia="Times New Roman" w:hAnsi="Times New Roman" w:cs="Times New Roman"/>
          <w:sz w:val="28"/>
          <w:szCs w:val="28"/>
        </w:rPr>
        <w:t>Концепци</w:t>
      </w:r>
      <w:r w:rsidR="0015130F" w:rsidRPr="007B218F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7B218F">
        <w:rPr>
          <w:rFonts w:ascii="Times New Roman" w:eastAsia="Times New Roman" w:hAnsi="Times New Roman" w:cs="Times New Roman"/>
          <w:sz w:val="28"/>
          <w:szCs w:val="28"/>
        </w:rPr>
        <w:t xml:space="preserve"> промышленной политики </w:t>
      </w:r>
      <w:r w:rsidR="0015130F" w:rsidRPr="007B218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B218F">
        <w:rPr>
          <w:rFonts w:ascii="Times New Roman" w:eastAsia="Times New Roman" w:hAnsi="Times New Roman" w:cs="Times New Roman"/>
          <w:sz w:val="28"/>
          <w:szCs w:val="28"/>
        </w:rPr>
        <w:t>Ханты-Манс</w:t>
      </w:r>
      <w:r w:rsidR="0015130F" w:rsidRPr="007B218F">
        <w:rPr>
          <w:rFonts w:ascii="Times New Roman" w:eastAsia="Times New Roman" w:hAnsi="Times New Roman" w:cs="Times New Roman"/>
          <w:sz w:val="28"/>
          <w:szCs w:val="28"/>
        </w:rPr>
        <w:t>ийском автономном округе – Югре</w:t>
      </w:r>
      <w:r w:rsidR="009968B2">
        <w:rPr>
          <w:rFonts w:ascii="Times New Roman" w:eastAsia="Times New Roman" w:hAnsi="Times New Roman" w:cs="Times New Roman"/>
          <w:sz w:val="28"/>
          <w:szCs w:val="28"/>
        </w:rPr>
        <w:t xml:space="preserve"> (постановление Правительства Югры от 29.12.2015 № 519-п)</w:t>
      </w:r>
      <w:r w:rsidRPr="007B21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66A5" w:rsidRPr="007B218F" w:rsidRDefault="004066A5" w:rsidP="00BD529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18F">
        <w:rPr>
          <w:rFonts w:ascii="Times New Roman" w:eastAsia="Times New Roman" w:hAnsi="Times New Roman" w:cs="Times New Roman"/>
          <w:sz w:val="28"/>
          <w:szCs w:val="28"/>
        </w:rPr>
        <w:t xml:space="preserve"> Закон автономного округа «О промышленной политике в Ханты-Мансийском автономном округе – Югре»</w:t>
      </w:r>
      <w:r w:rsidR="009968B2">
        <w:rPr>
          <w:rFonts w:ascii="Times New Roman" w:eastAsia="Times New Roman" w:hAnsi="Times New Roman" w:cs="Times New Roman"/>
          <w:sz w:val="28"/>
          <w:szCs w:val="28"/>
        </w:rPr>
        <w:t xml:space="preserve"> (закон Югры от 31.03.2016 № 23-оз)</w:t>
      </w:r>
      <w:r w:rsidRPr="007B21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66A5" w:rsidRPr="007B218F" w:rsidRDefault="0015130F" w:rsidP="00BD529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18F">
        <w:rPr>
          <w:rFonts w:ascii="Times New Roman" w:eastAsia="Times New Roman" w:hAnsi="Times New Roman" w:cs="Times New Roman"/>
          <w:sz w:val="28"/>
          <w:szCs w:val="28"/>
        </w:rPr>
        <w:t>Реестр</w:t>
      </w:r>
      <w:r w:rsidR="004066A5" w:rsidRPr="007B218F">
        <w:rPr>
          <w:rFonts w:ascii="Times New Roman" w:eastAsia="Times New Roman" w:hAnsi="Times New Roman" w:cs="Times New Roman"/>
          <w:sz w:val="28"/>
          <w:szCs w:val="28"/>
        </w:rPr>
        <w:t xml:space="preserve"> индустриальных (промышленных) парков Ханты-Мансийского автономного округа – Югры</w:t>
      </w:r>
      <w:r w:rsidR="009968B2">
        <w:rPr>
          <w:rFonts w:ascii="Times New Roman" w:eastAsia="Times New Roman" w:hAnsi="Times New Roman" w:cs="Times New Roman"/>
          <w:sz w:val="28"/>
          <w:szCs w:val="28"/>
        </w:rPr>
        <w:t xml:space="preserve"> (распоряжение Правительства Югры от 29.07.2016 № 412-рп)</w:t>
      </w:r>
      <w:r w:rsidR="004066A5" w:rsidRPr="007B21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66A5" w:rsidRPr="007B218F" w:rsidRDefault="0015130F" w:rsidP="00BD5295">
      <w:pPr>
        <w:pStyle w:val="a3"/>
        <w:numPr>
          <w:ilvl w:val="0"/>
          <w:numId w:val="24"/>
        </w:numPr>
        <w:tabs>
          <w:tab w:val="left" w:pos="993"/>
        </w:tabs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18F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066A5" w:rsidRPr="007B218F">
        <w:rPr>
          <w:rFonts w:ascii="Times New Roman" w:eastAsia="Times New Roman" w:hAnsi="Times New Roman" w:cs="Times New Roman"/>
          <w:sz w:val="28"/>
          <w:szCs w:val="28"/>
        </w:rPr>
        <w:t>еестр резидентов индустриальных (промышленных) парков Ханты-Мансий</w:t>
      </w:r>
      <w:r w:rsidRPr="007B218F">
        <w:rPr>
          <w:rFonts w:ascii="Times New Roman" w:eastAsia="Times New Roman" w:hAnsi="Times New Roman" w:cs="Times New Roman"/>
          <w:sz w:val="28"/>
          <w:szCs w:val="28"/>
        </w:rPr>
        <w:t>ского автономного округа – Югры</w:t>
      </w:r>
      <w:r w:rsidR="009968B2">
        <w:rPr>
          <w:rFonts w:ascii="Times New Roman" w:eastAsia="Times New Roman" w:hAnsi="Times New Roman" w:cs="Times New Roman"/>
          <w:sz w:val="28"/>
          <w:szCs w:val="28"/>
        </w:rPr>
        <w:t xml:space="preserve"> (распоряжение Правительства Югры от 29.07.2016 № 413-рп)</w:t>
      </w:r>
      <w:r w:rsidR="004066A5" w:rsidRPr="007B218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66A5" w:rsidRPr="007B218F" w:rsidRDefault="0015130F" w:rsidP="00BD5295">
      <w:pPr>
        <w:pStyle w:val="a3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218F">
        <w:rPr>
          <w:rFonts w:ascii="Times New Roman" w:eastAsia="Times New Roman" w:hAnsi="Times New Roman" w:cs="Times New Roman"/>
          <w:sz w:val="28"/>
          <w:szCs w:val="28"/>
        </w:rPr>
        <w:t>Унифицированная форма специального инвестиционного контракта</w:t>
      </w:r>
      <w:r w:rsidR="004066A5" w:rsidRPr="007B218F">
        <w:rPr>
          <w:rFonts w:ascii="Times New Roman" w:eastAsia="Times New Roman" w:hAnsi="Times New Roman" w:cs="Times New Roman"/>
          <w:sz w:val="28"/>
          <w:szCs w:val="28"/>
        </w:rPr>
        <w:t>, стороной которого является Ханты-Мансийский автономный округ – Югра</w:t>
      </w:r>
      <w:r w:rsidR="009968B2">
        <w:rPr>
          <w:rFonts w:ascii="Times New Roman" w:eastAsia="Times New Roman" w:hAnsi="Times New Roman" w:cs="Times New Roman"/>
          <w:sz w:val="28"/>
          <w:szCs w:val="28"/>
        </w:rPr>
        <w:t xml:space="preserve"> (постановление Правительства Югры от 30.12.2016 № 570-п)</w:t>
      </w:r>
      <w:r w:rsidR="004066A5" w:rsidRPr="007B21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066A5" w:rsidRPr="007B218F" w:rsidRDefault="004066A5" w:rsidP="00BD5295">
      <w:pPr>
        <w:pStyle w:val="ConsPlusTitle"/>
        <w:spacing w:line="360" w:lineRule="auto"/>
        <w:ind w:firstLine="567"/>
        <w:contextualSpacing/>
        <w:jc w:val="both"/>
        <w:rPr>
          <w:b w:val="0"/>
        </w:rPr>
      </w:pPr>
      <w:r w:rsidRPr="007B218F">
        <w:rPr>
          <w:b w:val="0"/>
        </w:rPr>
        <w:t>В текущем году в соответствии с планом основных мероприятий, реализуемых Правительством автономного округа и исполнительными органами государственной власти автономного округа, утвержден</w:t>
      </w:r>
      <w:r w:rsidR="00854A7B">
        <w:rPr>
          <w:b w:val="0"/>
        </w:rPr>
        <w:t>ный</w:t>
      </w:r>
      <w:r w:rsidRPr="007B218F">
        <w:rPr>
          <w:b w:val="0"/>
        </w:rPr>
        <w:t xml:space="preserve"> распоряжением Правительства автономного округа от 16.12.2016 № 684-рп</w:t>
      </w:r>
      <w:r w:rsidR="00854A7B">
        <w:rPr>
          <w:b w:val="0"/>
        </w:rPr>
        <w:t>,</w:t>
      </w:r>
      <w:r w:rsidRPr="007B218F">
        <w:rPr>
          <w:b w:val="0"/>
        </w:rPr>
        <w:t xml:space="preserve"> Фондом подготовлены предложения</w:t>
      </w:r>
      <w:r w:rsidR="00854A7B">
        <w:rPr>
          <w:b w:val="0"/>
        </w:rPr>
        <w:t xml:space="preserve"> в проект</w:t>
      </w:r>
      <w:r w:rsidRPr="007B218F">
        <w:rPr>
          <w:b w:val="0"/>
        </w:rPr>
        <w:t xml:space="preserve"> государственно</w:t>
      </w:r>
      <w:r w:rsidR="00854A7B">
        <w:rPr>
          <w:b w:val="0"/>
        </w:rPr>
        <w:t>й программы</w:t>
      </w:r>
      <w:r w:rsidRPr="007B218F">
        <w:rPr>
          <w:b w:val="0"/>
        </w:rPr>
        <w:t xml:space="preserve"> автономного округа «Развитие промышленности в Ханты-Мансийском автономном округе </w:t>
      </w:r>
      <w:r w:rsidR="004C6F59">
        <w:rPr>
          <w:b w:val="0"/>
        </w:rPr>
        <w:t>–</w:t>
      </w:r>
      <w:r w:rsidRPr="007B218F">
        <w:rPr>
          <w:b w:val="0"/>
        </w:rPr>
        <w:t xml:space="preserve"> Югре в 2018 </w:t>
      </w:r>
      <w:r w:rsidR="004C6F59">
        <w:rPr>
          <w:b w:val="0"/>
        </w:rPr>
        <w:t>–</w:t>
      </w:r>
      <w:r w:rsidRPr="007B218F">
        <w:rPr>
          <w:b w:val="0"/>
        </w:rPr>
        <w:t xml:space="preserve"> 2020 годах и на период до 2025 года».</w:t>
      </w:r>
    </w:p>
    <w:p w:rsidR="004066A5" w:rsidRDefault="004066A5" w:rsidP="00BD5295">
      <w:pPr>
        <w:pStyle w:val="ConsPlusTitle"/>
        <w:spacing w:line="360" w:lineRule="auto"/>
        <w:ind w:firstLine="567"/>
        <w:contextualSpacing/>
        <w:jc w:val="both"/>
        <w:rPr>
          <w:b w:val="0"/>
        </w:rPr>
      </w:pPr>
      <w:r w:rsidRPr="007B218F">
        <w:rPr>
          <w:b w:val="0"/>
        </w:rPr>
        <w:t>На базе Фонда начал работу Региональный Фонд развития промышленности, который по аналогии с федеральным</w:t>
      </w:r>
      <w:r w:rsidR="00854A7B">
        <w:rPr>
          <w:b w:val="0"/>
        </w:rPr>
        <w:t xml:space="preserve"> Фондом развития промышленности</w:t>
      </w:r>
      <w:r w:rsidRPr="007B218F">
        <w:rPr>
          <w:b w:val="0"/>
        </w:rPr>
        <w:t xml:space="preserve"> будет оказывать меры финансовой и нефинансовой поддержки деятельности в сфере промышленности, в том числе предоставление займов на льготной основе. На сегодняшний день параллельно осуществляются мероприятия по экспертизе проектов и их сопровождения для оказания мер финансовой поддержки.</w:t>
      </w:r>
    </w:p>
    <w:p w:rsidR="00B534BC" w:rsidRDefault="00B534BC" w:rsidP="00BD5295">
      <w:pPr>
        <w:pStyle w:val="ConsPlusTitle"/>
        <w:spacing w:line="360" w:lineRule="auto"/>
        <w:ind w:firstLine="567"/>
        <w:contextualSpacing/>
        <w:jc w:val="both"/>
        <w:rPr>
          <w:b w:val="0"/>
        </w:rPr>
      </w:pPr>
      <w:r>
        <w:rPr>
          <w:b w:val="0"/>
        </w:rPr>
        <w:t>В рамках реализации единой государственной промышленной политики Фонд структурировал 4 индустриальных парка</w:t>
      </w:r>
      <w:r w:rsidR="00454BCF">
        <w:rPr>
          <w:b w:val="0"/>
        </w:rPr>
        <w:t xml:space="preserve"> в сфере нефтесервиса, производства электрощитовой продукции,</w:t>
      </w:r>
      <w:r w:rsidR="00331B74">
        <w:rPr>
          <w:b w:val="0"/>
        </w:rPr>
        <w:t xml:space="preserve"> </w:t>
      </w:r>
      <w:r w:rsidR="00D64082">
        <w:rPr>
          <w:b w:val="0"/>
        </w:rPr>
        <w:t>нефтехимической промышленности</w:t>
      </w:r>
      <w:r w:rsidR="00331B74">
        <w:rPr>
          <w:b w:val="0"/>
        </w:rPr>
        <w:t>, газохимии</w:t>
      </w:r>
      <w:r w:rsidR="00454BCF">
        <w:rPr>
          <w:b w:val="0"/>
        </w:rPr>
        <w:t xml:space="preserve"> </w:t>
      </w:r>
      <w:r>
        <w:rPr>
          <w:b w:val="0"/>
        </w:rPr>
        <w:t xml:space="preserve">(разработаны финансово-экономические и юридические модели, бизнес-планы). Так в 2016 году в </w:t>
      </w:r>
      <w:r w:rsidR="00854A7B">
        <w:rPr>
          <w:b w:val="0"/>
        </w:rPr>
        <w:t>ходе</w:t>
      </w:r>
      <w:r>
        <w:rPr>
          <w:b w:val="0"/>
        </w:rPr>
        <w:t xml:space="preserve"> сопровождения проекта создания индустриального парка «Солнечный» в Сургутском районе на принципах «одного окна» при участии Фонда инвестору передан земельный участок на льготных условиях (без проведения торгов). В настоящий момент по проекту разрабатывается проектно-сметная документация, ведутся работы по строительству 1 очереди парка. Общий объем инвестиций – 3,6 млрд. рублей, бюджетный эффект 13,6 млрд. рублей (горизонт планирования 14 лет), создаваемые рабочие места – 766 ед., срок строительства 2017-2022 гг.   </w:t>
      </w:r>
    </w:p>
    <w:p w:rsidR="00BD5295" w:rsidRDefault="00BD5295" w:rsidP="00BD5295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DD20F8" w:rsidRPr="00C62FDC" w:rsidRDefault="00C62FDC" w:rsidP="00BD5295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62FDC">
        <w:rPr>
          <w:rFonts w:ascii="Times New Roman" w:hAnsi="Times New Roman"/>
          <w:i/>
          <w:sz w:val="28"/>
          <w:szCs w:val="28"/>
        </w:rPr>
        <w:tab/>
        <w:t xml:space="preserve">4. </w:t>
      </w:r>
      <w:r w:rsidR="00DD20F8" w:rsidRPr="00C62FDC">
        <w:rPr>
          <w:rFonts w:ascii="Times New Roman" w:hAnsi="Times New Roman"/>
          <w:i/>
          <w:sz w:val="28"/>
          <w:szCs w:val="28"/>
        </w:rPr>
        <w:t xml:space="preserve">Инновационное развитие. </w:t>
      </w:r>
    </w:p>
    <w:p w:rsidR="00DD20F8" w:rsidRDefault="00DD20F8" w:rsidP="00BD5295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 w:rsidR="00854A7B">
        <w:rPr>
          <w:rFonts w:ascii="Times New Roman" w:hAnsi="Times New Roman"/>
          <w:sz w:val="28"/>
          <w:szCs w:val="28"/>
        </w:rPr>
        <w:t>При участии Фонда разработана К</w:t>
      </w:r>
      <w:r w:rsidRPr="00DD20F8">
        <w:rPr>
          <w:rFonts w:ascii="Times New Roman" w:hAnsi="Times New Roman"/>
          <w:sz w:val="28"/>
          <w:szCs w:val="28"/>
        </w:rPr>
        <w:t>онцепция «Бережливый регион» в Ханты-Мансийском автономном округе – Югре</w:t>
      </w:r>
      <w:r w:rsidR="004C6F59">
        <w:rPr>
          <w:rFonts w:ascii="Times New Roman" w:hAnsi="Times New Roman"/>
          <w:sz w:val="28"/>
          <w:szCs w:val="28"/>
        </w:rPr>
        <w:t>,</w:t>
      </w:r>
      <w:r w:rsidRPr="00DD20F8">
        <w:rPr>
          <w:rFonts w:ascii="Times New Roman" w:hAnsi="Times New Roman"/>
          <w:sz w:val="28"/>
          <w:szCs w:val="28"/>
        </w:rPr>
        <w:t xml:space="preserve"> утвержденная распоряжением Правительства Ханты-Мансийского автономного округа – Югры от 19.08.2016 года № 455-рп. Концепция разработана </w:t>
      </w:r>
      <w:r w:rsidR="00854A7B">
        <w:rPr>
          <w:rFonts w:ascii="Times New Roman" w:hAnsi="Times New Roman"/>
          <w:sz w:val="28"/>
          <w:szCs w:val="28"/>
        </w:rPr>
        <w:t>в соответствии со</w:t>
      </w:r>
      <w:r w:rsidRPr="00DD20F8">
        <w:rPr>
          <w:rFonts w:ascii="Times New Roman" w:hAnsi="Times New Roman"/>
          <w:sz w:val="28"/>
          <w:szCs w:val="28"/>
        </w:rPr>
        <w:t xml:space="preserve"> </w:t>
      </w:r>
      <w:r w:rsidR="00854A7B">
        <w:rPr>
          <w:rFonts w:ascii="Times New Roman" w:hAnsi="Times New Roman"/>
          <w:sz w:val="28"/>
          <w:szCs w:val="28"/>
        </w:rPr>
        <w:t>Стратегией социально-экономического развития Ханты-Мансийского автономного округа – Югры до 2030. Основной вектор К</w:t>
      </w:r>
      <w:r w:rsidRPr="00DD20F8">
        <w:rPr>
          <w:rFonts w:ascii="Times New Roman" w:hAnsi="Times New Roman"/>
          <w:sz w:val="28"/>
          <w:szCs w:val="28"/>
        </w:rPr>
        <w:t xml:space="preserve">онцепции это </w:t>
      </w:r>
      <w:r w:rsidR="00854A7B">
        <w:rPr>
          <w:rFonts w:ascii="Times New Roman" w:hAnsi="Times New Roman"/>
          <w:sz w:val="28"/>
          <w:szCs w:val="28"/>
        </w:rPr>
        <w:t>увеличение производительности труда, а так же формирование «бережливой» философии у всех участников реализации концепции – органов государственной власти, органов местного самоуправления, предпринимательского сообщества.</w:t>
      </w:r>
    </w:p>
    <w:p w:rsidR="00BD5295" w:rsidRPr="00854A7B" w:rsidRDefault="00BD5295" w:rsidP="00BD5295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21223C" w:rsidRPr="00C62FDC" w:rsidRDefault="00C62FDC" w:rsidP="00BD5295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62FDC">
        <w:rPr>
          <w:rFonts w:ascii="Times New Roman" w:hAnsi="Times New Roman"/>
          <w:i/>
          <w:sz w:val="28"/>
          <w:szCs w:val="28"/>
        </w:rPr>
        <w:t xml:space="preserve">5. </w:t>
      </w:r>
      <w:r w:rsidR="0021223C" w:rsidRPr="00C62FDC">
        <w:rPr>
          <w:rFonts w:ascii="Times New Roman" w:hAnsi="Times New Roman"/>
          <w:i/>
          <w:sz w:val="28"/>
          <w:szCs w:val="28"/>
        </w:rPr>
        <w:t>Продвижение инвестиционного потенциа</w:t>
      </w:r>
      <w:r w:rsidR="00562719" w:rsidRPr="00C62FDC">
        <w:rPr>
          <w:rFonts w:ascii="Times New Roman" w:hAnsi="Times New Roman"/>
          <w:i/>
          <w:sz w:val="28"/>
          <w:szCs w:val="28"/>
        </w:rPr>
        <w:t xml:space="preserve">ла Ханты-Мансийского автономного округа </w:t>
      </w:r>
      <w:r w:rsidR="00BD5295" w:rsidRPr="00C62FDC">
        <w:rPr>
          <w:rFonts w:ascii="Times New Roman" w:hAnsi="Times New Roman"/>
          <w:i/>
          <w:sz w:val="28"/>
          <w:szCs w:val="28"/>
        </w:rPr>
        <w:t>–</w:t>
      </w:r>
      <w:r w:rsidR="00562719" w:rsidRPr="00C62FDC">
        <w:rPr>
          <w:rFonts w:ascii="Times New Roman" w:hAnsi="Times New Roman"/>
          <w:i/>
          <w:sz w:val="28"/>
          <w:szCs w:val="28"/>
        </w:rPr>
        <w:t xml:space="preserve"> Югры</w:t>
      </w:r>
      <w:r w:rsidR="00BD5295" w:rsidRPr="00C62FDC">
        <w:rPr>
          <w:rFonts w:ascii="Times New Roman" w:hAnsi="Times New Roman"/>
          <w:i/>
          <w:sz w:val="28"/>
          <w:szCs w:val="28"/>
        </w:rPr>
        <w:t>.</w:t>
      </w:r>
    </w:p>
    <w:p w:rsidR="008F4AAA" w:rsidRPr="007B218F" w:rsidRDefault="00873FD3" w:rsidP="00BD5295">
      <w:pPr>
        <w:autoSpaceDE w:val="0"/>
        <w:autoSpaceDN w:val="0"/>
        <w:adjustRightInd w:val="0"/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 xml:space="preserve">В 2016 году </w:t>
      </w:r>
      <w:r w:rsidR="008F4AAA" w:rsidRPr="007B218F">
        <w:rPr>
          <w:rFonts w:ascii="Times New Roman" w:hAnsi="Times New Roman" w:cs="Times New Roman"/>
          <w:sz w:val="28"/>
          <w:szCs w:val="28"/>
        </w:rPr>
        <w:t xml:space="preserve">Фонд </w:t>
      </w:r>
      <w:r w:rsidRPr="007B218F">
        <w:rPr>
          <w:rFonts w:ascii="Times New Roman" w:hAnsi="Times New Roman" w:cs="Times New Roman"/>
          <w:sz w:val="28"/>
          <w:szCs w:val="28"/>
        </w:rPr>
        <w:t>провел</w:t>
      </w:r>
      <w:r w:rsidR="008F4AAA" w:rsidRPr="007B218F">
        <w:rPr>
          <w:rFonts w:ascii="Times New Roman" w:hAnsi="Times New Roman" w:cs="Times New Roman"/>
          <w:sz w:val="28"/>
          <w:szCs w:val="28"/>
        </w:rPr>
        <w:t xml:space="preserve"> системную работу по позиционированию инвестиционных возможностей автономного округа на росси</w:t>
      </w:r>
      <w:r w:rsidRPr="007B218F">
        <w:rPr>
          <w:rFonts w:ascii="Times New Roman" w:hAnsi="Times New Roman" w:cs="Times New Roman"/>
          <w:sz w:val="28"/>
          <w:szCs w:val="28"/>
        </w:rPr>
        <w:t>йских и международных мероприятиях, таких как:</w:t>
      </w:r>
    </w:p>
    <w:p w:rsidR="008F4AAA" w:rsidRPr="007B218F" w:rsidRDefault="00873FD3" w:rsidP="00BD5295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 xml:space="preserve">Международный инвестиционный форум </w:t>
      </w:r>
      <w:r w:rsidR="008F4AAA" w:rsidRPr="007B218F">
        <w:rPr>
          <w:rFonts w:ascii="Times New Roman" w:hAnsi="Times New Roman" w:cs="Times New Roman"/>
          <w:sz w:val="28"/>
          <w:szCs w:val="28"/>
        </w:rPr>
        <w:t>«Сочи – 201</w:t>
      </w:r>
      <w:r w:rsidRPr="007B218F">
        <w:rPr>
          <w:rFonts w:ascii="Times New Roman" w:hAnsi="Times New Roman" w:cs="Times New Roman"/>
          <w:sz w:val="28"/>
          <w:szCs w:val="28"/>
        </w:rPr>
        <w:t>6»</w:t>
      </w:r>
      <w:r w:rsidR="0020000E" w:rsidRPr="007B218F">
        <w:rPr>
          <w:rFonts w:ascii="Times New Roman" w:hAnsi="Times New Roman" w:cs="Times New Roman"/>
          <w:sz w:val="28"/>
          <w:szCs w:val="28"/>
        </w:rPr>
        <w:t xml:space="preserve"> (Между Югрой и Владимирской, Челябинской областями, Ассоциацией социального развития, ПАО «Газпром нефть» подписаны соглашения о сотрудничестве)</w:t>
      </w:r>
      <w:r w:rsidRPr="007B218F">
        <w:rPr>
          <w:rFonts w:ascii="Times New Roman" w:hAnsi="Times New Roman" w:cs="Times New Roman"/>
          <w:sz w:val="28"/>
          <w:szCs w:val="28"/>
        </w:rPr>
        <w:t>;</w:t>
      </w:r>
    </w:p>
    <w:p w:rsidR="00873FD3" w:rsidRPr="007B218F" w:rsidRDefault="00873FD3" w:rsidP="00BD5295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>Международная промышленная выставка «ИННОПРОМ – 2016»</w:t>
      </w:r>
      <w:r w:rsidR="002E3A1A" w:rsidRPr="007B218F">
        <w:rPr>
          <w:rFonts w:ascii="Times New Roman" w:hAnsi="Times New Roman" w:cs="Times New Roman"/>
          <w:sz w:val="28"/>
          <w:szCs w:val="28"/>
        </w:rPr>
        <w:t xml:space="preserve"> (Правительством автономного округа проведены рабочие встречи с руководством Союза китайских предпринимателей (КНР), руководством штата Махараштра (Индия). На стенде округа были подписаны и реализуются соглашения о сотрудничестве между ГП «Исполнительная дирекция Фонда поколений» и Ханты-Мансийским отделением ОАО «Сбербанк России», Технопарком высоких технологий Югры и Уральским государственным лесотехническим университетом, Технопарком высоких технологий Югры и Уральским научно-исследовательским институтом сельского хозяйства).</w:t>
      </w:r>
    </w:p>
    <w:p w:rsidR="00873FD3" w:rsidRPr="007B218F" w:rsidRDefault="00873FD3" w:rsidP="00BD5295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>«Югорский промышленный форум – 2016»</w:t>
      </w:r>
      <w:r w:rsidR="002E3A1A" w:rsidRPr="007B218F">
        <w:rPr>
          <w:rFonts w:ascii="Times New Roman" w:hAnsi="Times New Roman" w:cs="Times New Roman"/>
          <w:sz w:val="28"/>
          <w:szCs w:val="28"/>
        </w:rPr>
        <w:t xml:space="preserve"> (проведен обучающий семинар «Механизмы государственной поддержки региональных внешнеэкономических проектов» в целях подготовки и структурирования внешнеэкономических проектов за счет бюджетных средств и средств частных инвесторов, в том числе на основе механизма государственно-частного партнерства, продвижения внешнеэкономических проектов. Организован круглый стол «Эффективная Югра: бережливое производство» с участием экспертов ведущих консалтерских организаций, представителей компаний, внедряющих принципы бережливого производства).</w:t>
      </w:r>
    </w:p>
    <w:p w:rsidR="00BD5295" w:rsidRDefault="00873FD3" w:rsidP="00BD5295">
      <w:pPr>
        <w:pStyle w:val="a3"/>
        <w:numPr>
          <w:ilvl w:val="0"/>
          <w:numId w:val="23"/>
        </w:numPr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>Инфраструктурный конгресс «Российская неделя ГЧП»</w:t>
      </w:r>
      <w:r w:rsidR="002E3A1A" w:rsidRPr="007B218F">
        <w:rPr>
          <w:rFonts w:ascii="Times New Roman" w:hAnsi="Times New Roman" w:cs="Times New Roman"/>
          <w:sz w:val="28"/>
          <w:szCs w:val="28"/>
        </w:rPr>
        <w:t xml:space="preserve"> (Состоялась открытая презентация «Государственно частное партнерство в здравоохранении: опыт регионов», в рамках которой Фондом совместно с инвестором был презентован проект создания Сургутского клинического Центра охраны материнства и детства. В качестве экспертов были приглашены представители Министерства здравоохранения РФ, ведущих банков, занятых в проектах ГЧП, компаний-консультантов)</w:t>
      </w:r>
      <w:r w:rsidR="007B218F" w:rsidRPr="007B218F">
        <w:rPr>
          <w:rFonts w:ascii="Times New Roman" w:hAnsi="Times New Roman" w:cs="Times New Roman"/>
          <w:sz w:val="28"/>
          <w:szCs w:val="28"/>
        </w:rPr>
        <w:t>.</w:t>
      </w:r>
    </w:p>
    <w:p w:rsidR="00BD5295" w:rsidRPr="00BD5295" w:rsidRDefault="00BD5295" w:rsidP="00BD5295">
      <w:pPr>
        <w:pStyle w:val="a3"/>
        <w:autoSpaceDE w:val="0"/>
        <w:autoSpaceDN w:val="0"/>
        <w:adjustRightInd w:val="0"/>
        <w:spacing w:line="36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1223C" w:rsidRPr="00C62FDC" w:rsidRDefault="00C62FDC" w:rsidP="00BD5295">
      <w:pPr>
        <w:tabs>
          <w:tab w:val="left" w:pos="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62FDC">
        <w:rPr>
          <w:rFonts w:ascii="Times New Roman" w:hAnsi="Times New Roman"/>
          <w:i/>
          <w:sz w:val="28"/>
          <w:szCs w:val="28"/>
        </w:rPr>
        <w:t xml:space="preserve">6. </w:t>
      </w:r>
      <w:r w:rsidR="001354AB" w:rsidRPr="00C62FDC">
        <w:rPr>
          <w:rFonts w:ascii="Times New Roman" w:hAnsi="Times New Roman"/>
          <w:i/>
          <w:sz w:val="28"/>
          <w:szCs w:val="28"/>
        </w:rPr>
        <w:t>Предложения</w:t>
      </w:r>
      <w:r w:rsidR="00562719" w:rsidRPr="00C62FDC">
        <w:rPr>
          <w:rFonts w:ascii="Times New Roman" w:hAnsi="Times New Roman"/>
          <w:i/>
          <w:sz w:val="28"/>
          <w:szCs w:val="28"/>
        </w:rPr>
        <w:t xml:space="preserve"> </w:t>
      </w:r>
      <w:r w:rsidR="001354AB" w:rsidRPr="00C62FDC">
        <w:rPr>
          <w:rFonts w:ascii="Times New Roman" w:hAnsi="Times New Roman"/>
          <w:i/>
          <w:sz w:val="28"/>
          <w:szCs w:val="28"/>
        </w:rPr>
        <w:t>о совершенствовании</w:t>
      </w:r>
      <w:r w:rsidR="00562719" w:rsidRPr="00C62FDC">
        <w:rPr>
          <w:rFonts w:ascii="Times New Roman" w:hAnsi="Times New Roman"/>
          <w:i/>
          <w:sz w:val="28"/>
          <w:szCs w:val="28"/>
        </w:rPr>
        <w:t xml:space="preserve"> но</w:t>
      </w:r>
      <w:r w:rsidR="001354AB" w:rsidRPr="00C62FDC">
        <w:rPr>
          <w:rFonts w:ascii="Times New Roman" w:hAnsi="Times New Roman"/>
          <w:i/>
          <w:sz w:val="28"/>
          <w:szCs w:val="28"/>
        </w:rPr>
        <w:t>рмативно-правовых актов Югры</w:t>
      </w:r>
      <w:r w:rsidR="00BD5295" w:rsidRPr="00C62FDC">
        <w:rPr>
          <w:rFonts w:ascii="Times New Roman" w:hAnsi="Times New Roman"/>
          <w:i/>
          <w:sz w:val="28"/>
          <w:szCs w:val="28"/>
        </w:rPr>
        <w:t>.</w:t>
      </w:r>
    </w:p>
    <w:p w:rsidR="008F4AAA" w:rsidRPr="007B218F" w:rsidRDefault="008F4AAA" w:rsidP="0070674B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 xml:space="preserve">Важным </w:t>
      </w:r>
      <w:r w:rsidR="001354AB">
        <w:rPr>
          <w:rFonts w:ascii="Times New Roman" w:hAnsi="Times New Roman" w:cs="Times New Roman"/>
          <w:sz w:val="28"/>
          <w:szCs w:val="28"/>
        </w:rPr>
        <w:t>составляющей</w:t>
      </w:r>
      <w:r w:rsidRPr="007B218F">
        <w:rPr>
          <w:rFonts w:ascii="Times New Roman" w:hAnsi="Times New Roman" w:cs="Times New Roman"/>
          <w:sz w:val="28"/>
          <w:szCs w:val="28"/>
        </w:rPr>
        <w:t xml:space="preserve"> деятельности Фонда является постоянный анализ действующего инвестиционного законодательства и </w:t>
      </w:r>
      <w:r w:rsidR="001354AB">
        <w:rPr>
          <w:rFonts w:ascii="Times New Roman" w:hAnsi="Times New Roman" w:cs="Times New Roman"/>
          <w:sz w:val="28"/>
          <w:szCs w:val="28"/>
        </w:rPr>
        <w:t xml:space="preserve">подготовка предложений по </w:t>
      </w:r>
      <w:r w:rsidR="00562719" w:rsidRPr="007B218F">
        <w:rPr>
          <w:rFonts w:ascii="Times New Roman" w:hAnsi="Times New Roman" w:cs="Times New Roman"/>
          <w:sz w:val="28"/>
          <w:szCs w:val="28"/>
        </w:rPr>
        <w:t>его совершенствовани</w:t>
      </w:r>
      <w:r w:rsidR="001354AB">
        <w:rPr>
          <w:rFonts w:ascii="Times New Roman" w:hAnsi="Times New Roman" w:cs="Times New Roman"/>
          <w:sz w:val="28"/>
          <w:szCs w:val="28"/>
        </w:rPr>
        <w:t>ю</w:t>
      </w:r>
      <w:r w:rsidRPr="007B218F">
        <w:rPr>
          <w:rFonts w:ascii="Times New Roman" w:hAnsi="Times New Roman" w:cs="Times New Roman"/>
          <w:sz w:val="28"/>
          <w:szCs w:val="28"/>
        </w:rPr>
        <w:t xml:space="preserve">. </w:t>
      </w:r>
      <w:r w:rsidR="00DD20F8">
        <w:rPr>
          <w:rFonts w:ascii="Times New Roman" w:hAnsi="Times New Roman" w:cs="Times New Roman"/>
          <w:sz w:val="28"/>
          <w:szCs w:val="28"/>
        </w:rPr>
        <w:t>За 2014-</w:t>
      </w:r>
      <w:r w:rsidRPr="007B218F">
        <w:rPr>
          <w:rFonts w:ascii="Times New Roman" w:hAnsi="Times New Roman" w:cs="Times New Roman"/>
          <w:sz w:val="28"/>
          <w:szCs w:val="28"/>
        </w:rPr>
        <w:t>201</w:t>
      </w:r>
      <w:r w:rsidR="006B1B69" w:rsidRPr="007B218F">
        <w:rPr>
          <w:rFonts w:ascii="Times New Roman" w:hAnsi="Times New Roman" w:cs="Times New Roman"/>
          <w:sz w:val="28"/>
          <w:szCs w:val="28"/>
        </w:rPr>
        <w:t>6</w:t>
      </w:r>
      <w:r w:rsidR="00DD20F8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7B218F">
        <w:rPr>
          <w:rFonts w:ascii="Times New Roman" w:hAnsi="Times New Roman" w:cs="Times New Roman"/>
          <w:sz w:val="28"/>
          <w:szCs w:val="28"/>
        </w:rPr>
        <w:t xml:space="preserve"> были подготовлен</w:t>
      </w:r>
      <w:r w:rsidR="00DD20F8">
        <w:rPr>
          <w:rFonts w:ascii="Times New Roman" w:hAnsi="Times New Roman" w:cs="Times New Roman"/>
          <w:sz w:val="28"/>
          <w:szCs w:val="28"/>
        </w:rPr>
        <w:t>о</w:t>
      </w:r>
      <w:r w:rsidRPr="007B218F">
        <w:rPr>
          <w:rFonts w:ascii="Times New Roman" w:hAnsi="Times New Roman" w:cs="Times New Roman"/>
          <w:sz w:val="28"/>
          <w:szCs w:val="28"/>
        </w:rPr>
        <w:t xml:space="preserve"> </w:t>
      </w:r>
      <w:r w:rsidR="00DD20F8">
        <w:rPr>
          <w:rFonts w:ascii="Times New Roman" w:hAnsi="Times New Roman" w:cs="Times New Roman"/>
          <w:sz w:val="28"/>
          <w:szCs w:val="28"/>
        </w:rPr>
        <w:t>22</w:t>
      </w:r>
      <w:r w:rsidRPr="007B218F">
        <w:rPr>
          <w:rFonts w:ascii="Times New Roman" w:hAnsi="Times New Roman" w:cs="Times New Roman"/>
          <w:sz w:val="28"/>
          <w:szCs w:val="28"/>
        </w:rPr>
        <w:t xml:space="preserve"> предложени</w:t>
      </w:r>
      <w:r w:rsidR="00DD20F8">
        <w:rPr>
          <w:rFonts w:ascii="Times New Roman" w:hAnsi="Times New Roman" w:cs="Times New Roman"/>
          <w:sz w:val="28"/>
          <w:szCs w:val="28"/>
        </w:rPr>
        <w:t>я</w:t>
      </w:r>
      <w:r w:rsidRPr="007B218F">
        <w:rPr>
          <w:rFonts w:ascii="Times New Roman" w:hAnsi="Times New Roman" w:cs="Times New Roman"/>
          <w:sz w:val="28"/>
          <w:szCs w:val="28"/>
        </w:rPr>
        <w:t xml:space="preserve"> Фонда, направленных на развитие инвестиционного законодательства и улучшение инвестиционного климата в Югре, в том числе при участии Фонда были разработаны нормативно-правовые документы автономного округа по следующим направлениям: </w:t>
      </w:r>
    </w:p>
    <w:p w:rsidR="008F4AAA" w:rsidRPr="007B218F" w:rsidRDefault="008F4AAA" w:rsidP="0070674B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>- государственно-частное партнерство;</w:t>
      </w:r>
    </w:p>
    <w:p w:rsidR="008F4AAA" w:rsidRPr="007B218F" w:rsidRDefault="008F4AAA" w:rsidP="0070674B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>- концессионное законодательство;</w:t>
      </w:r>
    </w:p>
    <w:p w:rsidR="008F4AAA" w:rsidRPr="007B218F" w:rsidRDefault="008F4AAA" w:rsidP="0070674B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 xml:space="preserve">- индустриальные парки и </w:t>
      </w:r>
      <w:r w:rsidR="00562719" w:rsidRPr="007B218F">
        <w:rPr>
          <w:rFonts w:ascii="Times New Roman" w:hAnsi="Times New Roman" w:cs="Times New Roman"/>
          <w:sz w:val="28"/>
          <w:szCs w:val="28"/>
        </w:rPr>
        <w:t>промышленные площадки</w:t>
      </w:r>
      <w:r w:rsidRPr="007B218F">
        <w:rPr>
          <w:rFonts w:ascii="Times New Roman" w:hAnsi="Times New Roman" w:cs="Times New Roman"/>
          <w:sz w:val="28"/>
          <w:szCs w:val="28"/>
        </w:rPr>
        <w:t>;</w:t>
      </w:r>
    </w:p>
    <w:p w:rsidR="008F4AAA" w:rsidRPr="007B218F" w:rsidRDefault="008F4AAA" w:rsidP="0070674B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 xml:space="preserve">- </w:t>
      </w:r>
      <w:r w:rsidR="00510096" w:rsidRPr="007B218F">
        <w:rPr>
          <w:rFonts w:ascii="Times New Roman" w:hAnsi="Times New Roman" w:cs="Times New Roman"/>
          <w:sz w:val="28"/>
          <w:szCs w:val="28"/>
        </w:rPr>
        <w:t>инновационное развитие</w:t>
      </w:r>
      <w:r w:rsidRPr="007B218F">
        <w:rPr>
          <w:rFonts w:ascii="Times New Roman" w:hAnsi="Times New Roman" w:cs="Times New Roman"/>
          <w:sz w:val="28"/>
          <w:szCs w:val="28"/>
        </w:rPr>
        <w:t>;</w:t>
      </w:r>
    </w:p>
    <w:p w:rsidR="008F4AAA" w:rsidRPr="007B218F" w:rsidRDefault="008F4AAA" w:rsidP="0070674B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>- промышленная политика автономного округа.</w:t>
      </w:r>
    </w:p>
    <w:p w:rsidR="00703BEE" w:rsidRPr="0070674B" w:rsidRDefault="008F4AAA" w:rsidP="0070674B">
      <w:pPr>
        <w:pStyle w:val="a3"/>
        <w:autoSpaceDE w:val="0"/>
        <w:autoSpaceDN w:val="0"/>
        <w:adjustRightInd w:val="0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218F">
        <w:rPr>
          <w:rFonts w:ascii="Times New Roman" w:hAnsi="Times New Roman" w:cs="Times New Roman"/>
          <w:sz w:val="28"/>
          <w:szCs w:val="28"/>
        </w:rPr>
        <w:tab/>
        <w:t xml:space="preserve">К примеру, в </w:t>
      </w:r>
      <w:r w:rsidR="00AB13AC" w:rsidRPr="007B218F">
        <w:rPr>
          <w:rFonts w:ascii="Times New Roman" w:hAnsi="Times New Roman" w:cs="Times New Roman"/>
          <w:sz w:val="28"/>
          <w:szCs w:val="28"/>
        </w:rPr>
        <w:t>июле 2016 года</w:t>
      </w:r>
      <w:r w:rsidRPr="007B218F">
        <w:rPr>
          <w:rFonts w:ascii="Times New Roman" w:hAnsi="Times New Roman" w:cs="Times New Roman"/>
          <w:sz w:val="28"/>
          <w:szCs w:val="28"/>
        </w:rPr>
        <w:t xml:space="preserve"> при участии Фонда </w:t>
      </w:r>
      <w:r w:rsidR="00AB13AC" w:rsidRPr="007B218F">
        <w:rPr>
          <w:rFonts w:ascii="Times New Roman" w:hAnsi="Times New Roman" w:cs="Times New Roman"/>
          <w:sz w:val="28"/>
          <w:szCs w:val="28"/>
        </w:rPr>
        <w:t>по социально значимому инвестиционному</w:t>
      </w:r>
      <w:r w:rsidRPr="007B218F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AB13AC" w:rsidRPr="007B218F">
        <w:rPr>
          <w:rFonts w:ascii="Times New Roman" w:hAnsi="Times New Roman" w:cs="Times New Roman"/>
          <w:sz w:val="28"/>
          <w:szCs w:val="28"/>
        </w:rPr>
        <w:t>у создания</w:t>
      </w:r>
      <w:r w:rsidRPr="007B218F">
        <w:rPr>
          <w:rFonts w:ascii="Times New Roman" w:hAnsi="Times New Roman" w:cs="Times New Roman"/>
          <w:sz w:val="28"/>
          <w:szCs w:val="28"/>
        </w:rPr>
        <w:t xml:space="preserve"> Сургутского окружного клинического центра охраны материнства и детства был</w:t>
      </w:r>
      <w:r w:rsidR="00AB13AC" w:rsidRPr="007B218F">
        <w:rPr>
          <w:rFonts w:ascii="Times New Roman" w:hAnsi="Times New Roman" w:cs="Times New Roman"/>
          <w:sz w:val="28"/>
          <w:szCs w:val="28"/>
        </w:rPr>
        <w:t xml:space="preserve">о </w:t>
      </w:r>
      <w:r w:rsidR="00960E96">
        <w:rPr>
          <w:rFonts w:ascii="Times New Roman" w:hAnsi="Times New Roman" w:cs="Times New Roman"/>
          <w:sz w:val="28"/>
          <w:szCs w:val="28"/>
        </w:rPr>
        <w:t>принято распоряжение от 29.07.2016 № 424-рп «О заключении прямого</w:t>
      </w:r>
      <w:r w:rsidR="00AB13AC" w:rsidRPr="007B218F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960E96">
        <w:rPr>
          <w:rFonts w:ascii="Times New Roman" w:hAnsi="Times New Roman" w:cs="Times New Roman"/>
          <w:sz w:val="28"/>
          <w:szCs w:val="28"/>
        </w:rPr>
        <w:t>я</w:t>
      </w:r>
      <w:r w:rsidR="00AB13AC" w:rsidRPr="007B218F">
        <w:rPr>
          <w:rFonts w:ascii="Times New Roman" w:hAnsi="Times New Roman" w:cs="Times New Roman"/>
          <w:sz w:val="28"/>
          <w:szCs w:val="28"/>
        </w:rPr>
        <w:t xml:space="preserve"> между Югрой, Банком ВТБ (ПАО) и Обществом с ограниченной ответственностью «ВИС Инфраструктура»</w:t>
      </w:r>
      <w:r w:rsidR="00960E96">
        <w:rPr>
          <w:rFonts w:ascii="Times New Roman" w:hAnsi="Times New Roman" w:cs="Times New Roman"/>
          <w:sz w:val="28"/>
          <w:szCs w:val="28"/>
        </w:rPr>
        <w:t>»</w:t>
      </w:r>
      <w:r w:rsidR="0011427D" w:rsidRPr="007B218F">
        <w:rPr>
          <w:rFonts w:ascii="Times New Roman" w:hAnsi="Times New Roman" w:cs="Times New Roman"/>
          <w:sz w:val="28"/>
          <w:szCs w:val="28"/>
        </w:rPr>
        <w:t>, что позволило</w:t>
      </w:r>
      <w:r w:rsidR="001354AB">
        <w:rPr>
          <w:rFonts w:ascii="Times New Roman" w:hAnsi="Times New Roman" w:cs="Times New Roman"/>
          <w:sz w:val="28"/>
          <w:szCs w:val="28"/>
        </w:rPr>
        <w:t xml:space="preserve"> достичь </w:t>
      </w:r>
      <w:r w:rsidR="0011427D" w:rsidRPr="007B218F">
        <w:rPr>
          <w:rFonts w:ascii="Times New Roman" w:hAnsi="Times New Roman" w:cs="Times New Roman"/>
          <w:sz w:val="28"/>
          <w:szCs w:val="28"/>
        </w:rPr>
        <w:t>привлечь банковское финансировани</w:t>
      </w:r>
      <w:r w:rsidR="001354AB">
        <w:rPr>
          <w:rFonts w:ascii="Times New Roman" w:hAnsi="Times New Roman" w:cs="Times New Roman"/>
          <w:sz w:val="28"/>
          <w:szCs w:val="28"/>
        </w:rPr>
        <w:t>е для реализации проекта.</w:t>
      </w:r>
    </w:p>
    <w:p w:rsidR="00BD5295" w:rsidRDefault="00BD5295" w:rsidP="00BD5295">
      <w:pPr>
        <w:pStyle w:val="af"/>
        <w:spacing w:line="360" w:lineRule="auto"/>
        <w:ind w:firstLine="567"/>
        <w:contextualSpacing/>
        <w:jc w:val="both"/>
        <w:rPr>
          <w:rFonts w:ascii="Times New Roman" w:hAnsi="Times New Roman"/>
        </w:rPr>
      </w:pPr>
    </w:p>
    <w:p w:rsidR="0021223C" w:rsidRPr="00C62FDC" w:rsidRDefault="00C62FDC" w:rsidP="00BD5295">
      <w:pPr>
        <w:pStyle w:val="af"/>
        <w:spacing w:line="360" w:lineRule="auto"/>
        <w:ind w:firstLine="567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C62FDC">
        <w:rPr>
          <w:rFonts w:ascii="Times New Roman" w:hAnsi="Times New Roman"/>
          <w:i/>
          <w:sz w:val="28"/>
          <w:szCs w:val="28"/>
        </w:rPr>
        <w:t>7.</w:t>
      </w:r>
      <w:r w:rsidR="0021223C" w:rsidRPr="00C62FDC">
        <w:rPr>
          <w:rFonts w:ascii="Times New Roman" w:hAnsi="Times New Roman"/>
          <w:i/>
          <w:sz w:val="28"/>
          <w:szCs w:val="28"/>
        </w:rPr>
        <w:t>Целевы</w:t>
      </w:r>
      <w:r w:rsidR="00562719" w:rsidRPr="00C62FDC">
        <w:rPr>
          <w:rFonts w:ascii="Times New Roman" w:hAnsi="Times New Roman"/>
          <w:i/>
          <w:sz w:val="28"/>
          <w:szCs w:val="28"/>
        </w:rPr>
        <w:t>е показатели деятельности Фонда</w:t>
      </w:r>
      <w:r w:rsidR="00BD5295" w:rsidRPr="00C62FDC">
        <w:rPr>
          <w:rFonts w:ascii="Times New Roman" w:hAnsi="Times New Roman"/>
          <w:i/>
          <w:sz w:val="28"/>
          <w:szCs w:val="28"/>
        </w:rPr>
        <w:t>.</w:t>
      </w:r>
    </w:p>
    <w:p w:rsidR="00E947EF" w:rsidRDefault="00E450DD" w:rsidP="00BD5295">
      <w:pPr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BEE">
        <w:rPr>
          <w:rFonts w:ascii="Times New Roman" w:eastAsia="Calibri" w:hAnsi="Times New Roman" w:cs="Times New Roman"/>
          <w:sz w:val="28"/>
          <w:szCs w:val="28"/>
        </w:rPr>
        <w:t xml:space="preserve">Результаты работы </w:t>
      </w:r>
      <w:r w:rsidR="00960E96">
        <w:rPr>
          <w:rFonts w:ascii="Times New Roman" w:eastAsia="Calibri" w:hAnsi="Times New Roman" w:cs="Times New Roman"/>
          <w:sz w:val="28"/>
          <w:szCs w:val="28"/>
        </w:rPr>
        <w:t>Фонда к началу 2017 года</w:t>
      </w:r>
      <w:r w:rsidRPr="00703BEE">
        <w:rPr>
          <w:rFonts w:ascii="Times New Roman" w:eastAsia="Calibri" w:hAnsi="Times New Roman" w:cs="Times New Roman"/>
          <w:sz w:val="28"/>
          <w:szCs w:val="28"/>
        </w:rPr>
        <w:t xml:space="preserve"> можно оценить по</w:t>
      </w:r>
      <w:r w:rsidR="00E947EF" w:rsidRPr="00703B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03BEE">
        <w:rPr>
          <w:rFonts w:ascii="Times New Roman" w:eastAsia="Calibri" w:hAnsi="Times New Roman" w:cs="Times New Roman"/>
          <w:sz w:val="28"/>
          <w:szCs w:val="28"/>
        </w:rPr>
        <w:t>следующим показателям</w:t>
      </w:r>
      <w:r w:rsidR="00E947EF" w:rsidRPr="00703BEE">
        <w:rPr>
          <w:rFonts w:ascii="Times New Roman" w:eastAsia="Calibri" w:hAnsi="Times New Roman" w:cs="Times New Roman"/>
          <w:sz w:val="28"/>
          <w:szCs w:val="28"/>
        </w:rPr>
        <w:t xml:space="preserve"> эффективности деятельно</w:t>
      </w:r>
      <w:r w:rsidR="003E2ABE">
        <w:rPr>
          <w:rFonts w:ascii="Times New Roman" w:eastAsia="Calibri" w:hAnsi="Times New Roman" w:cs="Times New Roman"/>
          <w:sz w:val="28"/>
          <w:szCs w:val="28"/>
        </w:rPr>
        <w:t>сти (утверждены протоколами</w:t>
      </w:r>
      <w:r w:rsidR="00E947EF" w:rsidRPr="00703BEE">
        <w:rPr>
          <w:rFonts w:ascii="Times New Roman" w:eastAsia="Calibri" w:hAnsi="Times New Roman" w:cs="Times New Roman"/>
          <w:sz w:val="28"/>
          <w:szCs w:val="28"/>
        </w:rPr>
        <w:t xml:space="preserve"> от</w:t>
      </w:r>
      <w:r w:rsidR="00B12C06">
        <w:rPr>
          <w:rFonts w:ascii="Times New Roman" w:eastAsia="Calibri" w:hAnsi="Times New Roman" w:cs="Times New Roman"/>
          <w:sz w:val="28"/>
          <w:szCs w:val="28"/>
        </w:rPr>
        <w:t xml:space="preserve"> 28.06.2015</w:t>
      </w:r>
      <w:r w:rsidR="003E2ABE">
        <w:rPr>
          <w:rFonts w:ascii="Times New Roman" w:eastAsia="Calibri" w:hAnsi="Times New Roman" w:cs="Times New Roman"/>
          <w:sz w:val="28"/>
          <w:szCs w:val="28"/>
        </w:rPr>
        <w:t xml:space="preserve"> № 29/15, от</w:t>
      </w:r>
      <w:r w:rsidR="00E947EF" w:rsidRPr="00703BEE">
        <w:rPr>
          <w:rFonts w:ascii="Times New Roman" w:eastAsia="Calibri" w:hAnsi="Times New Roman" w:cs="Times New Roman"/>
          <w:sz w:val="28"/>
          <w:szCs w:val="28"/>
        </w:rPr>
        <w:t xml:space="preserve"> 18.12.2015 №37/15 заседания Наблюдательного совета):</w:t>
      </w:r>
    </w:p>
    <w:tbl>
      <w:tblPr>
        <w:tblStyle w:val="a6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6520"/>
        <w:gridCol w:w="1276"/>
        <w:gridCol w:w="1276"/>
      </w:tblGrid>
      <w:tr w:rsidR="003E2ABE" w:rsidRPr="00703BEE" w:rsidTr="00F4615B">
        <w:tc>
          <w:tcPr>
            <w:tcW w:w="426" w:type="dxa"/>
            <w:vAlign w:val="center"/>
          </w:tcPr>
          <w:p w:rsidR="003E2ABE" w:rsidRPr="00BD5295" w:rsidRDefault="003E2ABE" w:rsidP="00F461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F461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Ед. измерения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F4615B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E2ABE" w:rsidRPr="00703BEE" w:rsidTr="00F4615B">
        <w:trPr>
          <w:trHeight w:val="882"/>
        </w:trPr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Объем планируемых инвестиций по проектам ГЧП, структурированных Фондом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vAlign w:val="center"/>
          </w:tcPr>
          <w:p w:rsidR="003E2ABE" w:rsidRPr="00BD5295" w:rsidRDefault="00DC0786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13 194,6</w:t>
            </w:r>
          </w:p>
        </w:tc>
      </w:tr>
      <w:tr w:rsidR="003E2ABE" w:rsidRPr="00703BEE" w:rsidTr="00F4615B"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инвестиций, планируемых в ходе реализации проектов, сопровождаемых Фондом по принципу «одного окна» 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E80554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9 </w:t>
            </w:r>
            <w:r w:rsidR="00E80554"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</w:tr>
      <w:tr w:rsidR="003E2ABE" w:rsidRPr="00703BEE" w:rsidTr="00F4615B"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рабочих мест, созданных при реализации проектов, сопровождаемых и/или структурированных Фондом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3E2ABE" w:rsidRPr="00BD5295" w:rsidRDefault="00E80554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706</w:t>
            </w:r>
          </w:p>
        </w:tc>
      </w:tr>
      <w:tr w:rsidR="003E2ABE" w:rsidRPr="00703BEE" w:rsidTr="00F4615B"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Бюджетный эффект от реализации проектов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млн. руб.</w:t>
            </w:r>
          </w:p>
        </w:tc>
        <w:tc>
          <w:tcPr>
            <w:tcW w:w="1276" w:type="dxa"/>
            <w:vAlign w:val="center"/>
          </w:tcPr>
          <w:p w:rsidR="003E2ABE" w:rsidRPr="00BD5295" w:rsidRDefault="00E80554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242,9</w:t>
            </w:r>
          </w:p>
        </w:tc>
      </w:tr>
      <w:tr w:rsidR="003E2ABE" w:rsidRPr="00703BEE" w:rsidTr="00F4615B"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индустриальных парков, создаваемых при участии Фонда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3E2ABE" w:rsidRPr="00BD5295" w:rsidRDefault="00E80554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3E2ABE" w:rsidRPr="00703BEE" w:rsidTr="00F4615B"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vAlign w:val="center"/>
          </w:tcPr>
          <w:p w:rsidR="003E2ABE" w:rsidRPr="00BD5295" w:rsidRDefault="00E80554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Заключено соглашений об информационно-консультационном сопровождении проектов на принципах «одного окна»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3E2ABE" w:rsidRPr="00BD5295" w:rsidRDefault="00E80554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3E2ABE" w:rsidRPr="00703BEE" w:rsidTr="00F4615B">
        <w:trPr>
          <w:trHeight w:val="1072"/>
        </w:trPr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неисполненных в срок Фондом поручений по подготовке документов, экспертных заключений, исследований, технико-экономических обоснований. Доля нерассмотренных в срок Фондом по принципу «одного окна» 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3E2ABE" w:rsidRPr="00703BEE" w:rsidTr="00F4615B">
        <w:trPr>
          <w:trHeight w:val="181"/>
        </w:trPr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предложений Фонда по нормативно-правовым актам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3E2ABE" w:rsidRPr="00BD5295" w:rsidRDefault="00E80554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3E2ABE" w:rsidRPr="00703BEE" w:rsidTr="00F4615B">
        <w:trPr>
          <w:trHeight w:val="561"/>
        </w:trPr>
        <w:tc>
          <w:tcPr>
            <w:tcW w:w="426" w:type="dxa"/>
            <w:vAlign w:val="center"/>
          </w:tcPr>
          <w:p w:rsidR="003E2ABE" w:rsidRPr="00BD5295" w:rsidRDefault="003E2ABE" w:rsidP="00703BEE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  <w:vAlign w:val="center"/>
          </w:tcPr>
          <w:p w:rsidR="003E2ABE" w:rsidRPr="00BD5295" w:rsidRDefault="003E2ABE" w:rsidP="00F4615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организованных Фондом круглых столов, презентаций, форумов, выставок в целях продвижения инвестиционного потенциала Ханты-Мансийского автономного округа </w:t>
            </w:r>
            <w:r w:rsidR="00F4615B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Югры</w:t>
            </w:r>
          </w:p>
        </w:tc>
        <w:tc>
          <w:tcPr>
            <w:tcW w:w="1276" w:type="dxa"/>
            <w:vAlign w:val="center"/>
          </w:tcPr>
          <w:p w:rsidR="003E2ABE" w:rsidRPr="00BD5295" w:rsidRDefault="003E2ABE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vAlign w:val="center"/>
          </w:tcPr>
          <w:p w:rsidR="003E2ABE" w:rsidRPr="00BD5295" w:rsidRDefault="00DB1BC4" w:rsidP="00111401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5295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</w:tr>
    </w:tbl>
    <w:p w:rsidR="00E947EF" w:rsidRPr="00E947EF" w:rsidRDefault="00E947EF" w:rsidP="00703BEE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5295" w:rsidRDefault="002F720B" w:rsidP="00BD5295">
      <w:pPr>
        <w:spacing w:after="12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3BEE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354AB">
        <w:rPr>
          <w:rFonts w:ascii="Times New Roman" w:eastAsia="Calibri" w:hAnsi="Times New Roman" w:cs="Times New Roman"/>
          <w:sz w:val="28"/>
          <w:szCs w:val="28"/>
        </w:rPr>
        <w:t xml:space="preserve">целях исполнения </w:t>
      </w:r>
      <w:r w:rsidR="001354AB" w:rsidRPr="001354AB">
        <w:rPr>
          <w:rFonts w:ascii="Times New Roman" w:eastAsia="Calibri" w:hAnsi="Times New Roman" w:cs="Times New Roman"/>
          <w:sz w:val="28"/>
          <w:szCs w:val="28"/>
        </w:rPr>
        <w:t>перечня поручений Президента Российской Федерации по итогам совместного заседания государственного Совета и консультативной комиссии от 5 декабря 2016 года № ПР-2347</w:t>
      </w:r>
      <w:r w:rsidR="001354AB">
        <w:rPr>
          <w:rFonts w:ascii="Times New Roman" w:eastAsia="Calibri" w:hAnsi="Times New Roman" w:cs="Times New Roman"/>
          <w:sz w:val="28"/>
          <w:szCs w:val="28"/>
        </w:rPr>
        <w:t xml:space="preserve"> в части достижения целевых показателей, установленных Целевой моделью «</w:t>
      </w:r>
      <w:r w:rsidR="001354AB" w:rsidRPr="001354AB">
        <w:rPr>
          <w:rFonts w:ascii="Times New Roman" w:eastAsia="Calibri" w:hAnsi="Times New Roman" w:cs="Times New Roman"/>
          <w:sz w:val="28"/>
          <w:szCs w:val="28"/>
        </w:rPr>
        <w:t>Эффективность деятельности специализированной организации по привлечению инвестиций и работе с инвесторами</w:t>
      </w:r>
      <w:r w:rsidR="001354AB">
        <w:rPr>
          <w:rFonts w:ascii="Times New Roman" w:eastAsia="Calibri" w:hAnsi="Times New Roman" w:cs="Times New Roman"/>
          <w:sz w:val="28"/>
          <w:szCs w:val="28"/>
        </w:rPr>
        <w:t>» Фондом разработаны</w:t>
      </w:r>
      <w:r w:rsidRPr="00703BEE">
        <w:rPr>
          <w:rFonts w:ascii="Times New Roman" w:eastAsia="Calibri" w:hAnsi="Times New Roman" w:cs="Times New Roman"/>
          <w:sz w:val="28"/>
          <w:szCs w:val="28"/>
        </w:rPr>
        <w:t xml:space="preserve"> новые показатели эффективности </w:t>
      </w:r>
      <w:r w:rsidR="007D0D1A" w:rsidRPr="00703BEE">
        <w:rPr>
          <w:rFonts w:ascii="Times New Roman" w:eastAsia="Calibri" w:hAnsi="Times New Roman" w:cs="Times New Roman"/>
          <w:sz w:val="28"/>
          <w:szCs w:val="28"/>
        </w:rPr>
        <w:t>деятельности,</w:t>
      </w:r>
      <w:r w:rsidRPr="00703BEE">
        <w:rPr>
          <w:rFonts w:ascii="Times New Roman" w:eastAsia="Calibri" w:hAnsi="Times New Roman" w:cs="Times New Roman"/>
          <w:sz w:val="28"/>
          <w:szCs w:val="28"/>
        </w:rPr>
        <w:t xml:space="preserve"> начиная с 2018 года</w:t>
      </w:r>
      <w:r w:rsidR="00BD529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BD5295" w:rsidRPr="00BD5295" w:rsidRDefault="002F720B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5295">
        <w:rPr>
          <w:rFonts w:ascii="Times New Roman" w:eastAsia="Calibri" w:hAnsi="Times New Roman" w:cs="Times New Roman"/>
          <w:sz w:val="28"/>
          <w:szCs w:val="28"/>
        </w:rPr>
        <w:t xml:space="preserve">инвестиционная емкость проектов в работе Фонда; </w:t>
      </w:r>
    </w:p>
    <w:p w:rsidR="00BD5295" w:rsidRDefault="00BD5295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бъем привлеченных инвестиций в основной капитал, включая иностранные; </w:t>
      </w:r>
    </w:p>
    <w:p w:rsidR="00BD5295" w:rsidRDefault="00BD5295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бъем привлеченных инвестиций в основной капитал на душу населения, в том числе иностранных;  </w:t>
      </w:r>
    </w:p>
    <w:p w:rsidR="00BD5295" w:rsidRDefault="00BD5295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бъем привлеченных инвестиций в основной капитал на территории Ханты-Мансийского автономного округа – Югры; </w:t>
      </w:r>
    </w:p>
    <w:p w:rsidR="00BD5295" w:rsidRDefault="00BD5295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оличество рабочих мест (в том числе высокопроизводительных), созданных и/или сохраненных при реализации проектов, сопровождаемых и/или структурированных Фондом; </w:t>
      </w:r>
    </w:p>
    <w:p w:rsidR="00BD5295" w:rsidRDefault="00BD5295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юджетный эффект от реализации проектов; </w:t>
      </w:r>
    </w:p>
    <w:p w:rsidR="00BD5295" w:rsidRDefault="00BD5295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оличество инвестиционных проектов и соглашений, находящихся в работе Фонда; Количество проектов, реализуемых совместно с федеральными институтами развития; </w:t>
      </w:r>
    </w:p>
    <w:p w:rsidR="00BD5295" w:rsidRDefault="00BD5295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оличество инвестиционных соглашений (проектов) и доля выполненных инвестиционных соглашений (проектов) от общего числа соглашений (проектов); </w:t>
      </w:r>
    </w:p>
    <w:p w:rsidR="00BD5295" w:rsidRDefault="00BD5295" w:rsidP="00BD5295">
      <w:pPr>
        <w:pStyle w:val="a3"/>
        <w:numPr>
          <w:ilvl w:val="0"/>
          <w:numId w:val="31"/>
        </w:numPr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оличество предложений Фонда направленных на совершенствование нормативного правового регулирования в сфере инвестиций, развития промышленности; </w:t>
      </w:r>
    </w:p>
    <w:p w:rsidR="002F720B" w:rsidRDefault="00BD5295" w:rsidP="00BD5295">
      <w:pPr>
        <w:pStyle w:val="a3"/>
        <w:numPr>
          <w:ilvl w:val="0"/>
          <w:numId w:val="31"/>
        </w:numPr>
        <w:tabs>
          <w:tab w:val="left" w:pos="426"/>
        </w:tabs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оличество организованных Фондом круглых столов, презентаций, форумов, выставок в целях продвижения инвестиционного (промышленного) потенциала Ханты-Мансийского автономного округа </w:t>
      </w:r>
      <w:r w:rsidR="007D0D1A" w:rsidRPr="00BD5295">
        <w:rPr>
          <w:rFonts w:ascii="Times New Roman" w:eastAsia="Calibri" w:hAnsi="Times New Roman" w:cs="Times New Roman"/>
          <w:sz w:val="28"/>
          <w:szCs w:val="28"/>
        </w:rPr>
        <w:t>–</w:t>
      </w:r>
      <w:r w:rsidR="002F720B" w:rsidRPr="00BD5295">
        <w:rPr>
          <w:rFonts w:ascii="Times New Roman" w:eastAsia="Calibri" w:hAnsi="Times New Roman" w:cs="Times New Roman"/>
          <w:sz w:val="28"/>
          <w:szCs w:val="28"/>
        </w:rPr>
        <w:t xml:space="preserve"> Югры</w:t>
      </w:r>
      <w:r w:rsidR="007D0D1A" w:rsidRPr="00BD5295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E9193A" w:rsidRDefault="00BD5295" w:rsidP="00F4615B">
      <w:pPr>
        <w:pStyle w:val="a3"/>
        <w:tabs>
          <w:tab w:val="left" w:pos="426"/>
        </w:tabs>
        <w:spacing w:after="120" w:line="360" w:lineRule="auto"/>
        <w:ind w:left="0" w:firstLine="709"/>
        <w:jc w:val="both"/>
        <w:rPr>
          <w:rFonts w:ascii="Times New Roman" w:eastAsia="Calibri" w:hAnsi="Times New Roman" w:cs="Times New Roman"/>
        </w:rPr>
      </w:pPr>
      <w:r w:rsidRPr="00BD5295">
        <w:rPr>
          <w:rFonts w:ascii="Times New Roman" w:eastAsia="Calibri" w:hAnsi="Times New Roman" w:cs="Times New Roman"/>
          <w:sz w:val="28"/>
          <w:szCs w:val="28"/>
        </w:rPr>
        <w:t>Проводимая системная работа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некоммерческой организации «Фонд развития Ханты-Мансийского автономного округа – Югры»</w:t>
      </w:r>
      <w:r w:rsidRPr="00BD5295">
        <w:rPr>
          <w:rFonts w:ascii="Times New Roman" w:eastAsia="Calibri" w:hAnsi="Times New Roman" w:cs="Times New Roman"/>
          <w:sz w:val="28"/>
          <w:szCs w:val="28"/>
        </w:rPr>
        <w:t>, а также прямое участие Губернатора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автономного округа</w:t>
      </w:r>
      <w:r w:rsidRPr="00BD5295">
        <w:rPr>
          <w:rFonts w:ascii="Times New Roman" w:eastAsia="Calibri" w:hAnsi="Times New Roman" w:cs="Times New Roman"/>
          <w:sz w:val="28"/>
          <w:szCs w:val="28"/>
        </w:rPr>
        <w:t xml:space="preserve"> в работе с инвесторами, позволили создать условия по обеспечению благоприятного инвестиционного климата в Ханты-Мансийском автономном округе – Югре.</w:t>
      </w:r>
    </w:p>
    <w:sectPr w:rsidR="00E9193A" w:rsidSect="00EF1E89">
      <w:headerReference w:type="default" r:id="rId8"/>
      <w:footerReference w:type="default" r:id="rId9"/>
      <w:pgSz w:w="11906" w:h="16838"/>
      <w:pgMar w:top="1134" w:right="851" w:bottom="42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295" w:rsidRDefault="00BD5295" w:rsidP="00A81E76">
      <w:pPr>
        <w:spacing w:after="0" w:line="240" w:lineRule="auto"/>
      </w:pPr>
      <w:r>
        <w:separator/>
      </w:r>
    </w:p>
  </w:endnote>
  <w:endnote w:type="continuationSeparator" w:id="0">
    <w:p w:rsidR="00BD5295" w:rsidRDefault="00BD5295" w:rsidP="00A81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295" w:rsidRDefault="00BD529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295" w:rsidRDefault="00BD5295" w:rsidP="00A81E76">
      <w:pPr>
        <w:spacing w:after="0" w:line="240" w:lineRule="auto"/>
      </w:pPr>
      <w:r>
        <w:separator/>
      </w:r>
    </w:p>
  </w:footnote>
  <w:footnote w:type="continuationSeparator" w:id="0">
    <w:p w:rsidR="00BD5295" w:rsidRDefault="00BD5295" w:rsidP="00A81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628281"/>
      <w:docPartObj>
        <w:docPartGallery w:val="Page Numbers (Top of Page)"/>
        <w:docPartUnique/>
      </w:docPartObj>
    </w:sdtPr>
    <w:sdtContent>
      <w:p w:rsidR="00EF1E89" w:rsidRDefault="00EF1E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F1E89" w:rsidRDefault="00EF1E8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C3ED9"/>
    <w:multiLevelType w:val="hybridMultilevel"/>
    <w:tmpl w:val="9C527E5C"/>
    <w:lvl w:ilvl="0" w:tplc="0419000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33" w:hanging="360"/>
      </w:pPr>
      <w:rPr>
        <w:rFonts w:ascii="Wingdings" w:hAnsi="Wingdings" w:hint="default"/>
      </w:rPr>
    </w:lvl>
  </w:abstractNum>
  <w:abstractNum w:abstractNumId="1">
    <w:nsid w:val="13654B08"/>
    <w:multiLevelType w:val="hybridMultilevel"/>
    <w:tmpl w:val="6D3AA906"/>
    <w:lvl w:ilvl="0" w:tplc="DE5889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631B18"/>
    <w:multiLevelType w:val="hybridMultilevel"/>
    <w:tmpl w:val="45E25B14"/>
    <w:lvl w:ilvl="0" w:tplc="04190001">
      <w:start w:val="1"/>
      <w:numFmt w:val="bullet"/>
      <w:lvlText w:val=""/>
      <w:lvlJc w:val="left"/>
      <w:pPr>
        <w:ind w:left="99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3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20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8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5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2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9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694" w:hanging="360"/>
      </w:pPr>
      <w:rPr>
        <w:rFonts w:ascii="Wingdings" w:hAnsi="Wingdings" w:hint="default"/>
      </w:rPr>
    </w:lvl>
  </w:abstractNum>
  <w:abstractNum w:abstractNumId="3">
    <w:nsid w:val="15B3321D"/>
    <w:multiLevelType w:val="hybridMultilevel"/>
    <w:tmpl w:val="88326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62011D"/>
    <w:multiLevelType w:val="hybridMultilevel"/>
    <w:tmpl w:val="025284BA"/>
    <w:lvl w:ilvl="0" w:tplc="F830D2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F36DA7"/>
    <w:multiLevelType w:val="hybridMultilevel"/>
    <w:tmpl w:val="59C08298"/>
    <w:lvl w:ilvl="0" w:tplc="B2AC0C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CD0B03"/>
    <w:multiLevelType w:val="hybridMultilevel"/>
    <w:tmpl w:val="DAE06B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B4AED"/>
    <w:multiLevelType w:val="hybridMultilevel"/>
    <w:tmpl w:val="30185F52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8">
    <w:nsid w:val="2B8A08C2"/>
    <w:multiLevelType w:val="hybridMultilevel"/>
    <w:tmpl w:val="707CC154"/>
    <w:lvl w:ilvl="0" w:tplc="4C42E9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237F2D"/>
    <w:multiLevelType w:val="hybridMultilevel"/>
    <w:tmpl w:val="6B9E2C40"/>
    <w:lvl w:ilvl="0" w:tplc="32BE140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F6145C8"/>
    <w:multiLevelType w:val="hybridMultilevel"/>
    <w:tmpl w:val="F9D2854E"/>
    <w:lvl w:ilvl="0" w:tplc="32BE140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11D5FA0"/>
    <w:multiLevelType w:val="hybridMultilevel"/>
    <w:tmpl w:val="9FCE227E"/>
    <w:lvl w:ilvl="0" w:tplc="04190001">
      <w:start w:val="1"/>
      <w:numFmt w:val="bullet"/>
      <w:lvlText w:val=""/>
      <w:lvlJc w:val="left"/>
      <w:pPr>
        <w:ind w:left="17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4" w:hanging="360"/>
      </w:pPr>
      <w:rPr>
        <w:rFonts w:ascii="Wingdings" w:hAnsi="Wingdings" w:hint="default"/>
      </w:rPr>
    </w:lvl>
  </w:abstractNum>
  <w:abstractNum w:abstractNumId="12">
    <w:nsid w:val="32AC2071"/>
    <w:multiLevelType w:val="hybridMultilevel"/>
    <w:tmpl w:val="7510710C"/>
    <w:lvl w:ilvl="0" w:tplc="DE58892E">
      <w:start w:val="1"/>
      <w:numFmt w:val="bullet"/>
      <w:lvlText w:val="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3">
    <w:nsid w:val="33963768"/>
    <w:multiLevelType w:val="multilevel"/>
    <w:tmpl w:val="93AA4DD8"/>
    <w:lvl w:ilvl="0">
      <w:start w:val="3"/>
      <w:numFmt w:val="decimal"/>
      <w:lvlText w:val="%1"/>
      <w:lvlJc w:val="left"/>
      <w:pPr>
        <w:ind w:left="0" w:firstLine="0"/>
      </w:pPr>
      <w:rPr>
        <w:rFonts w:ascii="Arial" w:eastAsia="Times New Roman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9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14">
    <w:nsid w:val="35106457"/>
    <w:multiLevelType w:val="hybridMultilevel"/>
    <w:tmpl w:val="FA84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D44B7"/>
    <w:multiLevelType w:val="hybridMultilevel"/>
    <w:tmpl w:val="DA769134"/>
    <w:lvl w:ilvl="0" w:tplc="0630DE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5ACCBA" w:tentative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EAE1DC" w:tentative="1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42C76C" w:tentative="1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3A8532" w:tentative="1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95201D0" w:tentative="1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88CE4E" w:tentative="1">
      <w:start w:val="1"/>
      <w:numFmt w:val="bullet"/>
      <w:lvlText w:val="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0E0308" w:tentative="1">
      <w:start w:val="1"/>
      <w:numFmt w:val="bullet"/>
      <w:lvlText w:val="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82EC3A" w:tentative="1">
      <w:start w:val="1"/>
      <w:numFmt w:val="bullet"/>
      <w:lvlText w:val="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47722438"/>
    <w:multiLevelType w:val="hybridMultilevel"/>
    <w:tmpl w:val="D0A845C8"/>
    <w:lvl w:ilvl="0" w:tplc="0C20736E">
      <w:start w:val="2"/>
      <w:numFmt w:val="bullet"/>
      <w:lvlText w:val="-"/>
      <w:lvlJc w:val="left"/>
      <w:pPr>
        <w:ind w:left="1609" w:hanging="90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4D493992"/>
    <w:multiLevelType w:val="hybridMultilevel"/>
    <w:tmpl w:val="C09A8B40"/>
    <w:lvl w:ilvl="0" w:tplc="DE58892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52C64EB7"/>
    <w:multiLevelType w:val="hybridMultilevel"/>
    <w:tmpl w:val="E4BE0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F917F2"/>
    <w:multiLevelType w:val="hybridMultilevel"/>
    <w:tmpl w:val="BF0E32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93062B"/>
    <w:multiLevelType w:val="hybridMultilevel"/>
    <w:tmpl w:val="8D743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7F5402"/>
    <w:multiLevelType w:val="hybridMultilevel"/>
    <w:tmpl w:val="4D8699E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FAE5A5C"/>
    <w:multiLevelType w:val="hybridMultilevel"/>
    <w:tmpl w:val="31A6330A"/>
    <w:lvl w:ilvl="0" w:tplc="09F087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07366BA"/>
    <w:multiLevelType w:val="hybridMultilevel"/>
    <w:tmpl w:val="B7AA7046"/>
    <w:lvl w:ilvl="0" w:tplc="42425420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>
    <w:nsid w:val="61360F95"/>
    <w:multiLevelType w:val="hybridMultilevel"/>
    <w:tmpl w:val="D91EF490"/>
    <w:lvl w:ilvl="0" w:tplc="DE58892E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63254CD8"/>
    <w:multiLevelType w:val="hybridMultilevel"/>
    <w:tmpl w:val="8A742992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6">
    <w:nsid w:val="63A613BF"/>
    <w:multiLevelType w:val="hybridMultilevel"/>
    <w:tmpl w:val="E93676D8"/>
    <w:lvl w:ilvl="0" w:tplc="A21C7C54">
      <w:start w:val="1"/>
      <w:numFmt w:val="bullet"/>
      <w:pStyle w:val="1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EC2605F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F951F5"/>
    <w:multiLevelType w:val="hybridMultilevel"/>
    <w:tmpl w:val="F6E669C2"/>
    <w:lvl w:ilvl="0" w:tplc="DE5889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68E03559"/>
    <w:multiLevelType w:val="hybridMultilevel"/>
    <w:tmpl w:val="BB704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702FD1"/>
    <w:multiLevelType w:val="hybridMultilevel"/>
    <w:tmpl w:val="52EEF73A"/>
    <w:lvl w:ilvl="0" w:tplc="DE5889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9600EC"/>
    <w:multiLevelType w:val="multilevel"/>
    <w:tmpl w:val="786EA794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926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54" w:hanging="1440"/>
      </w:pPr>
      <w:rPr>
        <w:rFonts w:hint="default"/>
      </w:rPr>
    </w:lvl>
  </w:abstractNum>
  <w:abstractNum w:abstractNumId="31">
    <w:nsid w:val="74FA715C"/>
    <w:multiLevelType w:val="hybridMultilevel"/>
    <w:tmpl w:val="5442CE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1"/>
  </w:num>
  <w:num w:numId="4">
    <w:abstractNumId w:val="7"/>
  </w:num>
  <w:num w:numId="5">
    <w:abstractNumId w:val="2"/>
  </w:num>
  <w:num w:numId="6">
    <w:abstractNumId w:val="0"/>
  </w:num>
  <w:num w:numId="7">
    <w:abstractNumId w:val="18"/>
  </w:num>
  <w:num w:numId="8">
    <w:abstractNumId w:val="26"/>
  </w:num>
  <w:num w:numId="9">
    <w:abstractNumId w:val="28"/>
  </w:num>
  <w:num w:numId="10">
    <w:abstractNumId w:val="14"/>
  </w:num>
  <w:num w:numId="11">
    <w:abstractNumId w:val="3"/>
  </w:num>
  <w:num w:numId="12">
    <w:abstractNumId w:val="6"/>
  </w:num>
  <w:num w:numId="13">
    <w:abstractNumId w:val="21"/>
  </w:num>
  <w:num w:numId="14">
    <w:abstractNumId w:val="9"/>
  </w:num>
  <w:num w:numId="15">
    <w:abstractNumId w:val="20"/>
  </w:num>
  <w:num w:numId="16">
    <w:abstractNumId w:val="19"/>
  </w:num>
  <w:num w:numId="17">
    <w:abstractNumId w:val="31"/>
  </w:num>
  <w:num w:numId="18">
    <w:abstractNumId w:val="27"/>
  </w:num>
  <w:num w:numId="19">
    <w:abstractNumId w:val="15"/>
  </w:num>
  <w:num w:numId="20">
    <w:abstractNumId w:val="8"/>
  </w:num>
  <w:num w:numId="21">
    <w:abstractNumId w:val="29"/>
  </w:num>
  <w:num w:numId="22">
    <w:abstractNumId w:val="24"/>
  </w:num>
  <w:num w:numId="23">
    <w:abstractNumId w:val="22"/>
  </w:num>
  <w:num w:numId="24">
    <w:abstractNumId w:val="5"/>
  </w:num>
  <w:num w:numId="25">
    <w:abstractNumId w:val="4"/>
  </w:num>
  <w:num w:numId="26">
    <w:abstractNumId w:val="17"/>
  </w:num>
  <w:num w:numId="27">
    <w:abstractNumId w:val="30"/>
  </w:num>
  <w:num w:numId="28">
    <w:abstractNumId w:val="10"/>
  </w:num>
  <w:num w:numId="29">
    <w:abstractNumId w:val="12"/>
  </w:num>
  <w:num w:numId="30">
    <w:abstractNumId w:val="1"/>
  </w:num>
  <w:num w:numId="31">
    <w:abstractNumId w:val="16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347"/>
    <w:rsid w:val="00000682"/>
    <w:rsid w:val="0001172E"/>
    <w:rsid w:val="000212E5"/>
    <w:rsid w:val="0003107D"/>
    <w:rsid w:val="00035AD1"/>
    <w:rsid w:val="00041181"/>
    <w:rsid w:val="0006038E"/>
    <w:rsid w:val="00073EC3"/>
    <w:rsid w:val="00074147"/>
    <w:rsid w:val="00087396"/>
    <w:rsid w:val="00093324"/>
    <w:rsid w:val="00094EB0"/>
    <w:rsid w:val="000B4994"/>
    <w:rsid w:val="000B6055"/>
    <w:rsid w:val="000C6F14"/>
    <w:rsid w:val="000D275D"/>
    <w:rsid w:val="000F24E9"/>
    <w:rsid w:val="000F7C85"/>
    <w:rsid w:val="00102093"/>
    <w:rsid w:val="00103E58"/>
    <w:rsid w:val="00105DAC"/>
    <w:rsid w:val="00105F80"/>
    <w:rsid w:val="00110547"/>
    <w:rsid w:val="00111401"/>
    <w:rsid w:val="0011427D"/>
    <w:rsid w:val="00131974"/>
    <w:rsid w:val="00134BDA"/>
    <w:rsid w:val="001354AB"/>
    <w:rsid w:val="00143B43"/>
    <w:rsid w:val="00147D51"/>
    <w:rsid w:val="0015130F"/>
    <w:rsid w:val="00154779"/>
    <w:rsid w:val="00154D53"/>
    <w:rsid w:val="00161B3E"/>
    <w:rsid w:val="00162FA4"/>
    <w:rsid w:val="00173F94"/>
    <w:rsid w:val="00182751"/>
    <w:rsid w:val="001827AA"/>
    <w:rsid w:val="001857BB"/>
    <w:rsid w:val="0019165A"/>
    <w:rsid w:val="001A2A27"/>
    <w:rsid w:val="001A7254"/>
    <w:rsid w:val="001B1207"/>
    <w:rsid w:val="001B4720"/>
    <w:rsid w:val="001E3563"/>
    <w:rsid w:val="001F6CEE"/>
    <w:rsid w:val="001F73A5"/>
    <w:rsid w:val="0020000E"/>
    <w:rsid w:val="00201C7A"/>
    <w:rsid w:val="002071DE"/>
    <w:rsid w:val="0021223C"/>
    <w:rsid w:val="00216022"/>
    <w:rsid w:val="0023386C"/>
    <w:rsid w:val="0023735E"/>
    <w:rsid w:val="0024544D"/>
    <w:rsid w:val="0025517E"/>
    <w:rsid w:val="002574D2"/>
    <w:rsid w:val="0027577A"/>
    <w:rsid w:val="00276153"/>
    <w:rsid w:val="00276222"/>
    <w:rsid w:val="002769B6"/>
    <w:rsid w:val="00294C29"/>
    <w:rsid w:val="002959B4"/>
    <w:rsid w:val="002A0B51"/>
    <w:rsid w:val="002A0CCB"/>
    <w:rsid w:val="002A3132"/>
    <w:rsid w:val="002A3C69"/>
    <w:rsid w:val="002A41BF"/>
    <w:rsid w:val="002B001B"/>
    <w:rsid w:val="002B1080"/>
    <w:rsid w:val="002B432F"/>
    <w:rsid w:val="002C37EC"/>
    <w:rsid w:val="002C41B2"/>
    <w:rsid w:val="002D41F4"/>
    <w:rsid w:val="002D54B6"/>
    <w:rsid w:val="002E3229"/>
    <w:rsid w:val="002E3988"/>
    <w:rsid w:val="002E3A1A"/>
    <w:rsid w:val="002E4108"/>
    <w:rsid w:val="002F4A1D"/>
    <w:rsid w:val="002F720B"/>
    <w:rsid w:val="00303083"/>
    <w:rsid w:val="003073C4"/>
    <w:rsid w:val="00312A71"/>
    <w:rsid w:val="003135FE"/>
    <w:rsid w:val="00316D4D"/>
    <w:rsid w:val="00324B0F"/>
    <w:rsid w:val="00325AC6"/>
    <w:rsid w:val="00331B74"/>
    <w:rsid w:val="00331DFD"/>
    <w:rsid w:val="0034181D"/>
    <w:rsid w:val="00341A6D"/>
    <w:rsid w:val="00352221"/>
    <w:rsid w:val="003606E9"/>
    <w:rsid w:val="00371E7A"/>
    <w:rsid w:val="00377B26"/>
    <w:rsid w:val="0038637A"/>
    <w:rsid w:val="0039067E"/>
    <w:rsid w:val="00395B2E"/>
    <w:rsid w:val="00395F88"/>
    <w:rsid w:val="00396027"/>
    <w:rsid w:val="003979AF"/>
    <w:rsid w:val="003B455E"/>
    <w:rsid w:val="003C648E"/>
    <w:rsid w:val="003D26EB"/>
    <w:rsid w:val="003E2ABE"/>
    <w:rsid w:val="003E5E75"/>
    <w:rsid w:val="003F4D78"/>
    <w:rsid w:val="003F5A1B"/>
    <w:rsid w:val="004026AB"/>
    <w:rsid w:val="004066A5"/>
    <w:rsid w:val="00410C4F"/>
    <w:rsid w:val="00412CED"/>
    <w:rsid w:val="00417B85"/>
    <w:rsid w:val="004272AA"/>
    <w:rsid w:val="00443B91"/>
    <w:rsid w:val="00454012"/>
    <w:rsid w:val="00454BCF"/>
    <w:rsid w:val="00464F0D"/>
    <w:rsid w:val="00471C22"/>
    <w:rsid w:val="00473EEA"/>
    <w:rsid w:val="00477B48"/>
    <w:rsid w:val="00483386"/>
    <w:rsid w:val="004856F4"/>
    <w:rsid w:val="004935E9"/>
    <w:rsid w:val="004A0CFA"/>
    <w:rsid w:val="004B5E5B"/>
    <w:rsid w:val="004C6F59"/>
    <w:rsid w:val="004E04F9"/>
    <w:rsid w:val="004E6AE6"/>
    <w:rsid w:val="004F0610"/>
    <w:rsid w:val="004F4AA3"/>
    <w:rsid w:val="0050122E"/>
    <w:rsid w:val="00510096"/>
    <w:rsid w:val="00510EAB"/>
    <w:rsid w:val="0052177C"/>
    <w:rsid w:val="00523372"/>
    <w:rsid w:val="00554438"/>
    <w:rsid w:val="00562719"/>
    <w:rsid w:val="00565ECC"/>
    <w:rsid w:val="00577748"/>
    <w:rsid w:val="00580DBB"/>
    <w:rsid w:val="00586CF6"/>
    <w:rsid w:val="00591666"/>
    <w:rsid w:val="00595463"/>
    <w:rsid w:val="00595D6B"/>
    <w:rsid w:val="00596139"/>
    <w:rsid w:val="00597D48"/>
    <w:rsid w:val="005C6657"/>
    <w:rsid w:val="005C6C78"/>
    <w:rsid w:val="005D3013"/>
    <w:rsid w:val="005D459D"/>
    <w:rsid w:val="005D745E"/>
    <w:rsid w:val="005E478D"/>
    <w:rsid w:val="00603581"/>
    <w:rsid w:val="00611B79"/>
    <w:rsid w:val="00614C3A"/>
    <w:rsid w:val="00617087"/>
    <w:rsid w:val="006238F4"/>
    <w:rsid w:val="00630112"/>
    <w:rsid w:val="00634E7D"/>
    <w:rsid w:val="006362AE"/>
    <w:rsid w:val="00637998"/>
    <w:rsid w:val="00642630"/>
    <w:rsid w:val="006430D0"/>
    <w:rsid w:val="006562B4"/>
    <w:rsid w:val="00664735"/>
    <w:rsid w:val="006653B2"/>
    <w:rsid w:val="00672703"/>
    <w:rsid w:val="00672F11"/>
    <w:rsid w:val="00673A4E"/>
    <w:rsid w:val="00683F1A"/>
    <w:rsid w:val="00693570"/>
    <w:rsid w:val="006A1A0C"/>
    <w:rsid w:val="006B064D"/>
    <w:rsid w:val="006B1B69"/>
    <w:rsid w:val="006B3B84"/>
    <w:rsid w:val="006B5FB2"/>
    <w:rsid w:val="006B7073"/>
    <w:rsid w:val="006C0898"/>
    <w:rsid w:val="006C46F9"/>
    <w:rsid w:val="006E301C"/>
    <w:rsid w:val="006E3114"/>
    <w:rsid w:val="006E44CA"/>
    <w:rsid w:val="006F31BE"/>
    <w:rsid w:val="00701E8A"/>
    <w:rsid w:val="00703BEE"/>
    <w:rsid w:val="0070674B"/>
    <w:rsid w:val="00706785"/>
    <w:rsid w:val="007119B6"/>
    <w:rsid w:val="00735845"/>
    <w:rsid w:val="00743FFC"/>
    <w:rsid w:val="007518F5"/>
    <w:rsid w:val="00751A67"/>
    <w:rsid w:val="007526D2"/>
    <w:rsid w:val="00752925"/>
    <w:rsid w:val="00760777"/>
    <w:rsid w:val="007760D4"/>
    <w:rsid w:val="007774C9"/>
    <w:rsid w:val="00780E3F"/>
    <w:rsid w:val="0079446D"/>
    <w:rsid w:val="00794D50"/>
    <w:rsid w:val="007A2EF0"/>
    <w:rsid w:val="007B218F"/>
    <w:rsid w:val="007B61F5"/>
    <w:rsid w:val="007C2B21"/>
    <w:rsid w:val="007C5FC7"/>
    <w:rsid w:val="007D0D1A"/>
    <w:rsid w:val="007D25C6"/>
    <w:rsid w:val="007E5CCD"/>
    <w:rsid w:val="007F1A9E"/>
    <w:rsid w:val="007F1CA5"/>
    <w:rsid w:val="008042E8"/>
    <w:rsid w:val="00815625"/>
    <w:rsid w:val="008167AB"/>
    <w:rsid w:val="00824ED0"/>
    <w:rsid w:val="00830CAA"/>
    <w:rsid w:val="00833538"/>
    <w:rsid w:val="008516AC"/>
    <w:rsid w:val="00852E87"/>
    <w:rsid w:val="00854A7B"/>
    <w:rsid w:val="00855CBA"/>
    <w:rsid w:val="00867845"/>
    <w:rsid w:val="00871B3F"/>
    <w:rsid w:val="00873CFD"/>
    <w:rsid w:val="00873FD3"/>
    <w:rsid w:val="00874EC4"/>
    <w:rsid w:val="008837BC"/>
    <w:rsid w:val="00884F23"/>
    <w:rsid w:val="008A617D"/>
    <w:rsid w:val="008B0B86"/>
    <w:rsid w:val="008B5877"/>
    <w:rsid w:val="008C19B9"/>
    <w:rsid w:val="008C57F7"/>
    <w:rsid w:val="008C7CE2"/>
    <w:rsid w:val="008D567F"/>
    <w:rsid w:val="008E0FDD"/>
    <w:rsid w:val="008E21F3"/>
    <w:rsid w:val="008E337D"/>
    <w:rsid w:val="008F3E5E"/>
    <w:rsid w:val="008F4AAA"/>
    <w:rsid w:val="008F7A00"/>
    <w:rsid w:val="00906E9A"/>
    <w:rsid w:val="009111FC"/>
    <w:rsid w:val="009143AA"/>
    <w:rsid w:val="009249D5"/>
    <w:rsid w:val="00925D08"/>
    <w:rsid w:val="00926FD6"/>
    <w:rsid w:val="00940234"/>
    <w:rsid w:val="00952A76"/>
    <w:rsid w:val="00954B83"/>
    <w:rsid w:val="00960E96"/>
    <w:rsid w:val="009637A7"/>
    <w:rsid w:val="00972AB5"/>
    <w:rsid w:val="00984B4A"/>
    <w:rsid w:val="009968B2"/>
    <w:rsid w:val="009A02C6"/>
    <w:rsid w:val="009A18D3"/>
    <w:rsid w:val="009A2050"/>
    <w:rsid w:val="009A5C63"/>
    <w:rsid w:val="009B3E73"/>
    <w:rsid w:val="009B3EFE"/>
    <w:rsid w:val="009C6FF2"/>
    <w:rsid w:val="009C7A15"/>
    <w:rsid w:val="009D556F"/>
    <w:rsid w:val="009D568A"/>
    <w:rsid w:val="009D71CE"/>
    <w:rsid w:val="009E3E0C"/>
    <w:rsid w:val="009E5E58"/>
    <w:rsid w:val="00A049EF"/>
    <w:rsid w:val="00A07A89"/>
    <w:rsid w:val="00A15347"/>
    <w:rsid w:val="00A17C76"/>
    <w:rsid w:val="00A2011F"/>
    <w:rsid w:val="00A21422"/>
    <w:rsid w:val="00A22AED"/>
    <w:rsid w:val="00A25C32"/>
    <w:rsid w:val="00A478A1"/>
    <w:rsid w:val="00A5737C"/>
    <w:rsid w:val="00A72792"/>
    <w:rsid w:val="00A751EF"/>
    <w:rsid w:val="00A81E76"/>
    <w:rsid w:val="00A87B61"/>
    <w:rsid w:val="00A9753C"/>
    <w:rsid w:val="00AA75A8"/>
    <w:rsid w:val="00AB13AC"/>
    <w:rsid w:val="00AB3541"/>
    <w:rsid w:val="00AB5238"/>
    <w:rsid w:val="00AB5373"/>
    <w:rsid w:val="00AC0CC1"/>
    <w:rsid w:val="00AC2404"/>
    <w:rsid w:val="00AC3B57"/>
    <w:rsid w:val="00AC60F8"/>
    <w:rsid w:val="00AC6328"/>
    <w:rsid w:val="00AD381F"/>
    <w:rsid w:val="00AE0057"/>
    <w:rsid w:val="00AE2619"/>
    <w:rsid w:val="00AF133E"/>
    <w:rsid w:val="00AF1EEA"/>
    <w:rsid w:val="00B04474"/>
    <w:rsid w:val="00B04A98"/>
    <w:rsid w:val="00B052B1"/>
    <w:rsid w:val="00B10C9A"/>
    <w:rsid w:val="00B12696"/>
    <w:rsid w:val="00B12C06"/>
    <w:rsid w:val="00B40A86"/>
    <w:rsid w:val="00B42FE1"/>
    <w:rsid w:val="00B45067"/>
    <w:rsid w:val="00B4719D"/>
    <w:rsid w:val="00B534BC"/>
    <w:rsid w:val="00B5492A"/>
    <w:rsid w:val="00B55B6F"/>
    <w:rsid w:val="00B57EC1"/>
    <w:rsid w:val="00B649EA"/>
    <w:rsid w:val="00B667F7"/>
    <w:rsid w:val="00B72C6B"/>
    <w:rsid w:val="00B73F1A"/>
    <w:rsid w:val="00B73F3C"/>
    <w:rsid w:val="00B869B3"/>
    <w:rsid w:val="00B9088F"/>
    <w:rsid w:val="00B9255C"/>
    <w:rsid w:val="00B942DA"/>
    <w:rsid w:val="00BA3A45"/>
    <w:rsid w:val="00BB0808"/>
    <w:rsid w:val="00BB2F2B"/>
    <w:rsid w:val="00BB351E"/>
    <w:rsid w:val="00BB5517"/>
    <w:rsid w:val="00BC7FDC"/>
    <w:rsid w:val="00BD4E97"/>
    <w:rsid w:val="00BD5295"/>
    <w:rsid w:val="00BF10ED"/>
    <w:rsid w:val="00BF3DD4"/>
    <w:rsid w:val="00BF3F67"/>
    <w:rsid w:val="00BF68EF"/>
    <w:rsid w:val="00C06D30"/>
    <w:rsid w:val="00C106F9"/>
    <w:rsid w:val="00C1091D"/>
    <w:rsid w:val="00C118F8"/>
    <w:rsid w:val="00C12E8D"/>
    <w:rsid w:val="00C136B9"/>
    <w:rsid w:val="00C21E00"/>
    <w:rsid w:val="00C352D7"/>
    <w:rsid w:val="00C37895"/>
    <w:rsid w:val="00C417A1"/>
    <w:rsid w:val="00C43DDF"/>
    <w:rsid w:val="00C61B4E"/>
    <w:rsid w:val="00C62FDC"/>
    <w:rsid w:val="00C63F9D"/>
    <w:rsid w:val="00C718C0"/>
    <w:rsid w:val="00C71D0E"/>
    <w:rsid w:val="00C7727A"/>
    <w:rsid w:val="00C91AE5"/>
    <w:rsid w:val="00C93FCB"/>
    <w:rsid w:val="00CA292A"/>
    <w:rsid w:val="00CB16BA"/>
    <w:rsid w:val="00CB2296"/>
    <w:rsid w:val="00CB4B8B"/>
    <w:rsid w:val="00CC0989"/>
    <w:rsid w:val="00CD09BE"/>
    <w:rsid w:val="00CD1A47"/>
    <w:rsid w:val="00CD50B7"/>
    <w:rsid w:val="00D0110F"/>
    <w:rsid w:val="00D044F9"/>
    <w:rsid w:val="00D252CE"/>
    <w:rsid w:val="00D25F43"/>
    <w:rsid w:val="00D3276E"/>
    <w:rsid w:val="00D405C4"/>
    <w:rsid w:val="00D43862"/>
    <w:rsid w:val="00D50475"/>
    <w:rsid w:val="00D5099F"/>
    <w:rsid w:val="00D572DA"/>
    <w:rsid w:val="00D57F60"/>
    <w:rsid w:val="00D60D7D"/>
    <w:rsid w:val="00D64082"/>
    <w:rsid w:val="00D6446B"/>
    <w:rsid w:val="00D87BE8"/>
    <w:rsid w:val="00D95359"/>
    <w:rsid w:val="00DB1BC4"/>
    <w:rsid w:val="00DC0786"/>
    <w:rsid w:val="00DC14F0"/>
    <w:rsid w:val="00DC5CC0"/>
    <w:rsid w:val="00DD20F8"/>
    <w:rsid w:val="00DE50FE"/>
    <w:rsid w:val="00DE598C"/>
    <w:rsid w:val="00DE661D"/>
    <w:rsid w:val="00E034E7"/>
    <w:rsid w:val="00E12A65"/>
    <w:rsid w:val="00E17436"/>
    <w:rsid w:val="00E175E8"/>
    <w:rsid w:val="00E17EDC"/>
    <w:rsid w:val="00E20582"/>
    <w:rsid w:val="00E22AD3"/>
    <w:rsid w:val="00E32853"/>
    <w:rsid w:val="00E336C4"/>
    <w:rsid w:val="00E44CA4"/>
    <w:rsid w:val="00E450DD"/>
    <w:rsid w:val="00E45266"/>
    <w:rsid w:val="00E52244"/>
    <w:rsid w:val="00E527B3"/>
    <w:rsid w:val="00E52BAA"/>
    <w:rsid w:val="00E53DF4"/>
    <w:rsid w:val="00E645EC"/>
    <w:rsid w:val="00E64646"/>
    <w:rsid w:val="00E66D5A"/>
    <w:rsid w:val="00E70775"/>
    <w:rsid w:val="00E736D6"/>
    <w:rsid w:val="00E77909"/>
    <w:rsid w:val="00E80554"/>
    <w:rsid w:val="00E8548C"/>
    <w:rsid w:val="00E9193A"/>
    <w:rsid w:val="00E91F8B"/>
    <w:rsid w:val="00E947EF"/>
    <w:rsid w:val="00E96105"/>
    <w:rsid w:val="00EB0C76"/>
    <w:rsid w:val="00EB529C"/>
    <w:rsid w:val="00ED2E43"/>
    <w:rsid w:val="00ED66EA"/>
    <w:rsid w:val="00ED7EB0"/>
    <w:rsid w:val="00EE0BEB"/>
    <w:rsid w:val="00EE4CBB"/>
    <w:rsid w:val="00EE6416"/>
    <w:rsid w:val="00EE6E62"/>
    <w:rsid w:val="00EF1E89"/>
    <w:rsid w:val="00EF553D"/>
    <w:rsid w:val="00F00E6D"/>
    <w:rsid w:val="00F0606C"/>
    <w:rsid w:val="00F06755"/>
    <w:rsid w:val="00F15901"/>
    <w:rsid w:val="00F16E8E"/>
    <w:rsid w:val="00F31120"/>
    <w:rsid w:val="00F3182B"/>
    <w:rsid w:val="00F36526"/>
    <w:rsid w:val="00F37BB2"/>
    <w:rsid w:val="00F4307C"/>
    <w:rsid w:val="00F4615B"/>
    <w:rsid w:val="00F4684C"/>
    <w:rsid w:val="00F61C5E"/>
    <w:rsid w:val="00F63225"/>
    <w:rsid w:val="00F650E4"/>
    <w:rsid w:val="00F7126A"/>
    <w:rsid w:val="00F71853"/>
    <w:rsid w:val="00F7363D"/>
    <w:rsid w:val="00F80B81"/>
    <w:rsid w:val="00F847F5"/>
    <w:rsid w:val="00F85CA4"/>
    <w:rsid w:val="00F91CE4"/>
    <w:rsid w:val="00F94245"/>
    <w:rsid w:val="00F95636"/>
    <w:rsid w:val="00FA13DD"/>
    <w:rsid w:val="00FA3CF1"/>
    <w:rsid w:val="00FB4921"/>
    <w:rsid w:val="00FB6E9A"/>
    <w:rsid w:val="00FC41C8"/>
    <w:rsid w:val="00FD2861"/>
    <w:rsid w:val="00FD3D52"/>
    <w:rsid w:val="00FD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99EC5A7A-04D1-4728-A837-7B7E661F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3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0775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5A1B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A1B"/>
    <w:rPr>
      <w:rFonts w:ascii="Arial" w:hAnsi="Arial" w:cs="Arial"/>
      <w:sz w:val="16"/>
      <w:szCs w:val="16"/>
    </w:rPr>
  </w:style>
  <w:style w:type="table" w:styleId="a6">
    <w:name w:val="Table Grid"/>
    <w:basedOn w:val="a1"/>
    <w:uiPriority w:val="59"/>
    <w:rsid w:val="00E03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094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ОСТ Знак"/>
    <w:link w:val="a9"/>
    <w:locked/>
    <w:rsid w:val="003606E9"/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ГОСТ"/>
    <w:basedOn w:val="a"/>
    <w:link w:val="a8"/>
    <w:qFormat/>
    <w:rsid w:val="003606E9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буллит1 Знак"/>
    <w:link w:val="1"/>
    <w:locked/>
    <w:rsid w:val="003606E9"/>
    <w:rPr>
      <w:rFonts w:ascii="Times New Roman" w:eastAsia="Calibri" w:hAnsi="Times New Roman" w:cs="Times New Roman"/>
      <w:sz w:val="24"/>
      <w:szCs w:val="24"/>
    </w:rPr>
  </w:style>
  <w:style w:type="paragraph" w:customStyle="1" w:styleId="1">
    <w:name w:val="буллит1"/>
    <w:basedOn w:val="a3"/>
    <w:link w:val="10"/>
    <w:qFormat/>
    <w:rsid w:val="003606E9"/>
    <w:pPr>
      <w:numPr>
        <w:numId w:val="8"/>
      </w:numPr>
      <w:spacing w:line="276" w:lineRule="auto"/>
      <w:ind w:left="720"/>
      <w:jc w:val="both"/>
    </w:pPr>
    <w:rPr>
      <w:rFonts w:ascii="Times New Roman" w:eastAsia="Calibri" w:hAnsi="Times New Roman" w:cs="Times New Roman"/>
      <w:lang w:eastAsia="en-US"/>
    </w:rPr>
  </w:style>
  <w:style w:type="paragraph" w:styleId="aa">
    <w:name w:val="header"/>
    <w:basedOn w:val="a"/>
    <w:link w:val="ab"/>
    <w:uiPriority w:val="99"/>
    <w:unhideWhenUsed/>
    <w:rsid w:val="00A81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81E76"/>
  </w:style>
  <w:style w:type="paragraph" w:styleId="ac">
    <w:name w:val="footer"/>
    <w:basedOn w:val="a"/>
    <w:link w:val="ad"/>
    <w:uiPriority w:val="99"/>
    <w:unhideWhenUsed/>
    <w:rsid w:val="00A81E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81E76"/>
  </w:style>
  <w:style w:type="character" w:styleId="ae">
    <w:name w:val="Hyperlink"/>
    <w:basedOn w:val="a0"/>
    <w:uiPriority w:val="99"/>
    <w:unhideWhenUsed/>
    <w:rsid w:val="00B57EC1"/>
    <w:rPr>
      <w:color w:val="0000FF"/>
      <w:u w:val="single"/>
    </w:rPr>
  </w:style>
  <w:style w:type="paragraph" w:customStyle="1" w:styleId="ConsPlusTitle">
    <w:name w:val="ConsPlusTitle"/>
    <w:uiPriority w:val="99"/>
    <w:rsid w:val="004066A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af">
    <w:name w:val="No Spacing"/>
    <w:basedOn w:val="a"/>
    <w:uiPriority w:val="1"/>
    <w:qFormat/>
    <w:rsid w:val="001A7254"/>
    <w:pPr>
      <w:spacing w:after="0" w:line="240" w:lineRule="auto"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6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2439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2226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3103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9662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5271">
          <w:marLeft w:val="533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2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3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661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19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49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23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7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9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55F8C-DFB1-4179-9847-254AAADA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10</Pages>
  <Words>2415</Words>
  <Characters>13767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f12</dc:creator>
  <cp:lastModifiedBy>Антипина Ольга Витальевна</cp:lastModifiedBy>
  <cp:revision>7</cp:revision>
  <cp:lastPrinted>2017-06-13T06:27:00Z</cp:lastPrinted>
  <dcterms:created xsi:type="dcterms:W3CDTF">2017-06-07T14:09:00Z</dcterms:created>
  <dcterms:modified xsi:type="dcterms:W3CDTF">2017-06-13T06:28:00Z</dcterms:modified>
</cp:coreProperties>
</file>